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jpeg" ContentType="image/jpeg"/>
  <Override PartName="/word/media/image17.jpeg" ContentType="image/jpeg"/>
  <Override PartName="/word/media/image3.png" ContentType="image/png"/>
  <Override PartName="/word/media/image2.png" ContentType="image/png"/>
  <Override PartName="/word/media/image4.png" ContentType="image/png"/>
  <Override PartName="/word/media/image5.png" ContentType="image/png"/>
  <Override PartName="/word/media/image34.jpeg" ContentType="image/jpeg"/>
  <Override PartName="/word/media/image6.png" ContentType="image/png"/>
  <Override PartName="/word/media/image7.png" ContentType="image/png"/>
  <Override PartName="/word/media/image8.png" ContentType="image/png"/>
  <Override PartName="/word/media/image23.jpeg" ContentType="image/jpeg"/>
  <Override PartName="/word/media/image9.png" ContentType="image/png"/>
  <Override PartName="/word/media/image10.png" ContentType="image/png"/>
  <Override PartName="/word/media/image29.jpeg" ContentType="image/jpeg"/>
  <Override PartName="/word/media/image11.png" ContentType="image/png"/>
  <Override PartName="/word/media/image12.jpeg" ContentType="image/jpeg"/>
  <Override PartName="/word/media/image13.jpeg" ContentType="image/jpeg"/>
  <Override PartName="/word/media/image14.jpeg" ContentType="image/jpeg"/>
  <Override PartName="/word/media/image15.jpeg" ContentType="image/jpeg"/>
  <Override PartName="/word/media/image16.jpeg" ContentType="image/jpeg"/>
  <Override PartName="/word/media/image18.jpeg" ContentType="image/jpeg"/>
  <Override PartName="/word/media/image19.jpeg" ContentType="image/jpeg"/>
  <Override PartName="/word/media/image20.jpeg" ContentType="image/jpeg"/>
  <Override PartName="/word/media/image21.jpeg" ContentType="image/jpeg"/>
  <Override PartName="/word/media/image22.jpeg" ContentType="image/jpeg"/>
  <Override PartName="/word/media/image24.jpeg" ContentType="image/jpeg"/>
  <Override PartName="/word/media/image25.jpeg" ContentType="image/jpeg"/>
  <Override PartName="/word/media/image26.jpeg" ContentType="image/jpeg"/>
  <Override PartName="/word/media/image27.jpeg" ContentType="image/jpeg"/>
  <Override PartName="/word/media/image28.jpeg" ContentType="image/jpeg"/>
  <Override PartName="/word/media/image30.jpeg" ContentType="image/jpeg"/>
  <Override PartName="/word/media/image31.jpeg" ContentType="image/jpeg"/>
  <Override PartName="/word/media/image32.jpeg" ContentType="image/jpeg"/>
  <Override PartName="/word/media/image33.jpeg" ContentType="image/jpeg"/>
  <Override PartName="/word/media/image35.jpeg" ContentType="image/jpeg"/>
  <Override PartName="/word/media/image36.jpeg" ContentType="image/jpeg"/>
  <Override PartName="/word/media/image37.jpeg" ContentType="image/jpeg"/>
  <Override PartName="/word/media/image38.jpeg" ContentType="image/jpeg"/>
  <Override PartName="/word/media/image39.jpeg" ContentType="image/jpeg"/>
  <Override PartName="/word/media/image40.jpeg" ContentType="image/jpeg"/>
  <Override PartName="/word/media/image41.jpeg" ContentType="image/jpeg"/>
  <Override PartName="/word/header1.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charts/chart1.xml" ContentType="application/vnd.openxmlformats-officedocument.drawingml.chart+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footer1.xml.rels" ContentType="application/vnd.openxmlformats-package.relationships+xml"/>
  <Override PartName="/word/_rels/document.xml.rels" ContentType="application/vnd.openxmlformats-package.relationships+xml"/>
  <Override PartName="/word/_rels/foot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reprincipal"/>
        <w:rPr>
          <w:b/>
          <w:b/>
          <w:sz w:val="72"/>
        </w:rPr>
      </w:pPr>
      <w:r>
        <w:rPr>
          <w:b/>
          <w:sz w:val="72"/>
        </w:rPr>
        <w:t>Indicateur RENATU</w:t>
      </w:r>
    </w:p>
    <w:p>
      <w:pPr>
        <w:pStyle w:val="Normal"/>
        <w:rPr/>
      </w:pPr>
      <w:r>
        <w:rPr/>
      </w:r>
    </w:p>
    <w:p>
      <w:pPr>
        <w:pStyle w:val="Titreprincipal"/>
        <w:rPr>
          <w:i/>
          <w:i/>
        </w:rPr>
      </w:pPr>
      <w:r>
        <w:rPr>
          <w:i/>
        </w:rPr>
        <w:t>Prédiagnostic écologique d’un site à l’usage des opérateurs d’aménagement et des gestionnaires</w:t>
      </w:r>
    </w:p>
    <w:p>
      <w:pPr>
        <w:pStyle w:val="Titreprincipal"/>
        <w:rPr/>
      </w:pPr>
      <w:r>
        <w:rPr/>
      </w:r>
    </w:p>
    <w:p>
      <w:pPr>
        <w:pStyle w:val="Normal"/>
        <w:rPr/>
      </w:pPr>
      <w:r>
        <w:rPr/>
      </w:r>
    </w:p>
    <w:p>
      <w:pPr>
        <w:pStyle w:val="Normal"/>
        <w:jc w:val="center"/>
        <w:rPr/>
      </w:pPr>
      <w:r>
        <w:rPr/>
        <w:drawing>
          <wp:inline distT="0" distB="0" distL="0" distR="0">
            <wp:extent cx="3950335" cy="5266690"/>
            <wp:effectExtent l="0" t="0" r="0" b="0"/>
            <wp:docPr id="1" name="Imag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
                    <pic:cNvPicPr>
                      <a:picLocks noChangeAspect="1" noChangeArrowheads="1"/>
                    </pic:cNvPicPr>
                  </pic:nvPicPr>
                  <pic:blipFill>
                    <a:blip r:embed="rId2"/>
                    <a:stretch>
                      <a:fillRect/>
                    </a:stretch>
                  </pic:blipFill>
                  <pic:spPr bwMode="auto">
                    <a:xfrm>
                      <a:off x="0" y="0"/>
                      <a:ext cx="3950335" cy="5266690"/>
                    </a:xfrm>
                    <a:prstGeom prst="rect">
                      <a:avLst/>
                    </a:prstGeom>
                  </pic:spPr>
                </pic:pic>
              </a:graphicData>
            </a:graphic>
          </wp:inline>
        </w:drawing>
      </w:r>
    </w:p>
    <w:sdt>
      <w:sdtPr>
        <w:docPartObj>
          <w:docPartGallery w:val="Table of Contents"/>
          <w:docPartUnique w:val="true"/>
        </w:docPartObj>
      </w:sdtPr>
      <w:sdtContent>
        <w:p>
          <w:pPr>
            <w:pStyle w:val="TOCHeading"/>
            <w:rPr/>
          </w:pPr>
          <w:r>
            <w:rPr/>
            <w:t>Table des mat</w:t>
          </w:r>
          <w:bookmarkStart w:id="0" w:name="_GoBack"/>
          <w:bookmarkEnd w:id="0"/>
          <w:r>
            <w:rPr/>
            <w:t>ières</w:t>
          </w:r>
        </w:p>
        <w:p>
          <w:pPr>
            <w:pStyle w:val="Tabledesmatiresniveau1"/>
            <w:tabs>
              <w:tab w:val="clear" w:pos="708"/>
              <w:tab w:val="left" w:pos="440" w:leader="none"/>
              <w:tab w:val="right" w:pos="9062" w:leader="dot"/>
            </w:tabs>
            <w:rPr>
              <w:rFonts w:ascii="Calibri" w:hAnsi="Calibri" w:eastAsia="" w:asciiTheme="minorHAnsi" w:eastAsiaTheme="minorEastAsia" w:hAnsiTheme="minorHAnsi"/>
              <w:lang w:eastAsia="fr-FR"/>
            </w:rPr>
          </w:pPr>
          <w:r>
            <w:fldChar w:fldCharType="begin"/>
          </w:r>
          <w:r>
            <w:rPr>
              <w:webHidden/>
              <w:rStyle w:val="Sautdindex"/>
            </w:rPr>
            <w:instrText> TOC \z \o "1-3" \u \h</w:instrText>
          </w:r>
          <w:r>
            <w:rPr>
              <w:webHidden/>
              <w:rStyle w:val="Sautdindex"/>
            </w:rPr>
            <w:fldChar w:fldCharType="separate"/>
          </w:r>
          <w:hyperlink w:anchor="_Toc33726963">
            <w:r>
              <w:rPr>
                <w:webHidden/>
                <w:rStyle w:val="Sautdindex"/>
              </w:rPr>
              <w:t>1</w:t>
            </w:r>
            <w:r>
              <w:rPr>
                <w:rStyle w:val="Sautdindex"/>
                <w:rFonts w:eastAsia="" w:ascii="Calibri" w:hAnsi="Calibri" w:asciiTheme="minorHAnsi" w:eastAsiaTheme="minorEastAsia" w:hAnsiTheme="minorHAnsi"/>
                <w:lang w:eastAsia="fr-FR"/>
              </w:rPr>
              <w:tab/>
            </w:r>
            <w:r>
              <w:rPr>
                <w:rStyle w:val="Sautdindex"/>
              </w:rPr>
              <w:t>Présentation de l’indicateur RENATU : qu’est-ce que l’indicateur ? A quoi sert-il ? Comment a-t-il été conçu ?</w:t>
            </w:r>
            <w:r>
              <w:rPr>
                <w:webHidden/>
              </w:rPr>
              <w:fldChar w:fldCharType="begin"/>
            </w:r>
            <w:r>
              <w:rPr>
                <w:webHidden/>
              </w:rPr>
              <w:instrText>PAGEREF _Toc33726963 \h</w:instrText>
            </w:r>
            <w:r>
              <w:rPr>
                <w:webHidden/>
              </w:rPr>
              <w:fldChar w:fldCharType="separate"/>
            </w:r>
            <w:r>
              <w:rPr>
                <w:rStyle w:val="Sautdindex"/>
                <w:vanish w:val="false"/>
              </w:rPr>
              <w:tab/>
              <w:t>3</w:t>
            </w:r>
            <w:r>
              <w:rPr>
                <w:webHidden/>
              </w:rPr>
              <w:fldChar w:fldCharType="end"/>
            </w:r>
          </w:hyperlink>
        </w:p>
        <w:p>
          <w:pPr>
            <w:pStyle w:val="Tabledesmatiresniveau2"/>
            <w:tabs>
              <w:tab w:val="clear" w:pos="708"/>
              <w:tab w:val="left" w:pos="880" w:leader="none"/>
              <w:tab w:val="right" w:pos="9062" w:leader="dot"/>
            </w:tabs>
            <w:rPr>
              <w:rFonts w:ascii="Calibri" w:hAnsi="Calibri" w:eastAsia="" w:asciiTheme="minorHAnsi" w:eastAsiaTheme="minorEastAsia" w:hAnsiTheme="minorHAnsi"/>
              <w:lang w:eastAsia="fr-FR"/>
            </w:rPr>
          </w:pPr>
          <w:hyperlink w:anchor="_Toc33726964">
            <w:r>
              <w:rPr>
                <w:webHidden/>
                <w:rStyle w:val="Sautdindex"/>
              </w:rPr>
              <w:t>1.1</w:t>
            </w:r>
            <w:r>
              <w:rPr>
                <w:rStyle w:val="Sautdindex"/>
                <w:rFonts w:eastAsia="" w:ascii="Calibri" w:hAnsi="Calibri" w:asciiTheme="minorHAnsi" w:eastAsiaTheme="minorEastAsia" w:hAnsiTheme="minorHAnsi"/>
                <w:lang w:eastAsia="fr-FR"/>
              </w:rPr>
              <w:tab/>
            </w:r>
            <w:r>
              <w:rPr>
                <w:rStyle w:val="Sautdindex"/>
              </w:rPr>
              <w:t>Qu’est-ce que l’indicateur RENATU ?</w:t>
            </w:r>
            <w:r>
              <w:rPr>
                <w:webHidden/>
              </w:rPr>
              <w:fldChar w:fldCharType="begin"/>
            </w:r>
            <w:r>
              <w:rPr>
                <w:webHidden/>
              </w:rPr>
              <w:instrText>PAGEREF _Toc33726964 \h</w:instrText>
            </w:r>
            <w:r>
              <w:rPr>
                <w:webHidden/>
              </w:rPr>
              <w:fldChar w:fldCharType="separate"/>
            </w:r>
            <w:r>
              <w:rPr>
                <w:rStyle w:val="Sautdindex"/>
                <w:vanish w:val="false"/>
              </w:rPr>
              <w:tab/>
              <w:t>3</w:t>
            </w:r>
            <w:r>
              <w:rPr>
                <w:webHidden/>
              </w:rPr>
              <w:fldChar w:fldCharType="end"/>
            </w:r>
          </w:hyperlink>
        </w:p>
        <w:p>
          <w:pPr>
            <w:pStyle w:val="Tabledesmatiresniveau2"/>
            <w:tabs>
              <w:tab w:val="clear" w:pos="708"/>
              <w:tab w:val="left" w:pos="880" w:leader="none"/>
              <w:tab w:val="right" w:pos="9062" w:leader="dot"/>
            </w:tabs>
            <w:rPr>
              <w:rFonts w:ascii="Calibri" w:hAnsi="Calibri" w:eastAsia="" w:asciiTheme="minorHAnsi" w:eastAsiaTheme="minorEastAsia" w:hAnsiTheme="minorHAnsi"/>
              <w:lang w:eastAsia="fr-FR"/>
            </w:rPr>
          </w:pPr>
          <w:hyperlink w:anchor="_Toc33726965">
            <w:r>
              <w:rPr>
                <w:webHidden/>
                <w:rStyle w:val="Sautdindex"/>
              </w:rPr>
              <w:t>1.2</w:t>
            </w:r>
            <w:r>
              <w:rPr>
                <w:rStyle w:val="Sautdindex"/>
                <w:rFonts w:eastAsia="" w:ascii="Calibri" w:hAnsi="Calibri" w:asciiTheme="minorHAnsi" w:eastAsiaTheme="minorEastAsia" w:hAnsiTheme="minorHAnsi"/>
                <w:lang w:eastAsia="fr-FR"/>
              </w:rPr>
              <w:tab/>
            </w:r>
            <w:r>
              <w:rPr>
                <w:rStyle w:val="Sautdindex"/>
              </w:rPr>
              <w:t>Principes de l’indicateur RENATU</w:t>
            </w:r>
            <w:r>
              <w:rPr>
                <w:webHidden/>
              </w:rPr>
              <w:fldChar w:fldCharType="begin"/>
            </w:r>
            <w:r>
              <w:rPr>
                <w:webHidden/>
              </w:rPr>
              <w:instrText>PAGEREF _Toc33726965 \h</w:instrText>
            </w:r>
            <w:r>
              <w:rPr>
                <w:webHidden/>
              </w:rPr>
              <w:fldChar w:fldCharType="separate"/>
            </w:r>
            <w:r>
              <w:rPr>
                <w:rStyle w:val="Sautdindex"/>
                <w:vanish w:val="false"/>
              </w:rPr>
              <w:tab/>
              <w:t>4</w:t>
            </w:r>
            <w:r>
              <w:rPr>
                <w:webHidden/>
              </w:rPr>
              <w:fldChar w:fldCharType="end"/>
            </w:r>
          </w:hyperlink>
        </w:p>
        <w:p>
          <w:pPr>
            <w:pStyle w:val="Tabledesmatiresniveau1"/>
            <w:tabs>
              <w:tab w:val="clear" w:pos="708"/>
              <w:tab w:val="left" w:pos="440" w:leader="none"/>
              <w:tab w:val="right" w:pos="9062" w:leader="dot"/>
            </w:tabs>
            <w:rPr>
              <w:rFonts w:ascii="Calibri" w:hAnsi="Calibri" w:eastAsia="" w:asciiTheme="minorHAnsi" w:eastAsiaTheme="minorEastAsia" w:hAnsiTheme="minorHAnsi"/>
              <w:lang w:eastAsia="fr-FR"/>
            </w:rPr>
          </w:pPr>
          <w:hyperlink w:anchor="_Toc33726966">
            <w:r>
              <w:rPr>
                <w:webHidden/>
                <w:rStyle w:val="Sautdindex"/>
                <w:i/>
              </w:rPr>
              <w:t>2</w:t>
            </w:r>
            <w:r>
              <w:rPr>
                <w:rStyle w:val="Sautdindex"/>
                <w:rFonts w:eastAsia="" w:ascii="Calibri" w:hAnsi="Calibri" w:asciiTheme="minorHAnsi" w:eastAsiaTheme="minorEastAsia" w:hAnsiTheme="minorHAnsi"/>
                <w:lang w:eastAsia="fr-FR"/>
              </w:rPr>
              <w:tab/>
            </w:r>
            <w:r>
              <w:rPr>
                <w:rStyle w:val="Sautdindex"/>
              </w:rPr>
              <w:t xml:space="preserve">L’indicateur RENATU : </w:t>
            </w:r>
            <w:r>
              <w:rPr>
                <w:rStyle w:val="Sautdindex"/>
                <w:i/>
              </w:rPr>
              <w:t>fonctionnement et indices</w:t>
            </w:r>
            <w:r>
              <w:rPr>
                <w:webHidden/>
              </w:rPr>
              <w:fldChar w:fldCharType="begin"/>
            </w:r>
            <w:r>
              <w:rPr>
                <w:webHidden/>
              </w:rPr>
              <w:instrText>PAGEREF _Toc33726966 \h</w:instrText>
            </w:r>
            <w:r>
              <w:rPr>
                <w:webHidden/>
              </w:rPr>
              <w:fldChar w:fldCharType="separate"/>
            </w:r>
            <w:r>
              <w:rPr>
                <w:rStyle w:val="Sautdindex"/>
                <w:vanish w:val="false"/>
              </w:rPr>
              <w:tab/>
              <w:t>6</w:t>
            </w:r>
            <w:r>
              <w:rPr>
                <w:webHidden/>
              </w:rPr>
              <w:fldChar w:fldCharType="end"/>
            </w:r>
          </w:hyperlink>
        </w:p>
        <w:p>
          <w:pPr>
            <w:pStyle w:val="Tabledesmatiresniveau2"/>
            <w:tabs>
              <w:tab w:val="clear" w:pos="708"/>
              <w:tab w:val="left" w:pos="880" w:leader="none"/>
              <w:tab w:val="right" w:pos="9062" w:leader="dot"/>
            </w:tabs>
            <w:rPr>
              <w:rFonts w:ascii="Calibri" w:hAnsi="Calibri" w:eastAsia="" w:asciiTheme="minorHAnsi" w:eastAsiaTheme="minorEastAsia" w:hAnsiTheme="minorHAnsi"/>
              <w:lang w:eastAsia="fr-FR"/>
            </w:rPr>
          </w:pPr>
          <w:hyperlink w:anchor="_Toc33726967">
            <w:r>
              <w:rPr>
                <w:webHidden/>
                <w:rStyle w:val="Sautdindex"/>
              </w:rPr>
              <w:t>2.1</w:t>
            </w:r>
            <w:r>
              <w:rPr>
                <w:rStyle w:val="Sautdindex"/>
                <w:rFonts w:eastAsia="" w:ascii="Calibri" w:hAnsi="Calibri" w:asciiTheme="minorHAnsi" w:eastAsiaTheme="minorEastAsia" w:hAnsiTheme="minorHAnsi"/>
                <w:lang w:eastAsia="fr-FR"/>
              </w:rPr>
              <w:tab/>
            </w:r>
            <w:r>
              <w:rPr>
                <w:rStyle w:val="Sautdindex"/>
              </w:rPr>
              <w:t>Phase de repérage</w:t>
            </w:r>
            <w:r>
              <w:rPr>
                <w:webHidden/>
              </w:rPr>
              <w:fldChar w:fldCharType="begin"/>
            </w:r>
            <w:r>
              <w:rPr>
                <w:webHidden/>
              </w:rPr>
              <w:instrText>PAGEREF _Toc33726967 \h</w:instrText>
            </w:r>
            <w:r>
              <w:rPr>
                <w:webHidden/>
              </w:rPr>
              <w:fldChar w:fldCharType="separate"/>
            </w:r>
            <w:r>
              <w:rPr>
                <w:rStyle w:val="Sautdindex"/>
                <w:vanish w:val="false"/>
              </w:rPr>
              <w:tab/>
              <w:t>6</w:t>
            </w:r>
            <w:r>
              <w:rPr>
                <w:webHidden/>
              </w:rPr>
              <w:fldChar w:fldCharType="end"/>
            </w:r>
          </w:hyperlink>
        </w:p>
        <w:p>
          <w:pPr>
            <w:pStyle w:val="Tabledesmatiresniveau2"/>
            <w:tabs>
              <w:tab w:val="clear" w:pos="708"/>
              <w:tab w:val="left" w:pos="880" w:leader="none"/>
              <w:tab w:val="right" w:pos="9062" w:leader="dot"/>
            </w:tabs>
            <w:rPr>
              <w:rFonts w:ascii="Calibri" w:hAnsi="Calibri" w:eastAsia="" w:asciiTheme="minorHAnsi" w:eastAsiaTheme="minorEastAsia" w:hAnsiTheme="minorHAnsi"/>
              <w:lang w:eastAsia="fr-FR"/>
            </w:rPr>
          </w:pPr>
          <w:hyperlink w:anchor="_Toc33726968">
            <w:r>
              <w:rPr>
                <w:webHidden/>
                <w:rStyle w:val="Sautdindex"/>
              </w:rPr>
              <w:t>2.2</w:t>
            </w:r>
            <w:r>
              <w:rPr>
                <w:rStyle w:val="Sautdindex"/>
                <w:rFonts w:eastAsia="" w:ascii="Calibri" w:hAnsi="Calibri" w:asciiTheme="minorHAnsi" w:eastAsiaTheme="minorEastAsia" w:hAnsiTheme="minorHAnsi"/>
                <w:lang w:eastAsia="fr-FR"/>
              </w:rPr>
              <w:tab/>
            </w:r>
            <w:r>
              <w:rPr>
                <w:rStyle w:val="Sautdindex"/>
              </w:rPr>
              <w:t>La fiche de relevé</w:t>
            </w:r>
            <w:r>
              <w:rPr>
                <w:webHidden/>
              </w:rPr>
              <w:fldChar w:fldCharType="begin"/>
            </w:r>
            <w:r>
              <w:rPr>
                <w:webHidden/>
              </w:rPr>
              <w:instrText>PAGEREF _Toc33726968 \h</w:instrText>
            </w:r>
            <w:r>
              <w:rPr>
                <w:webHidden/>
              </w:rPr>
              <w:fldChar w:fldCharType="separate"/>
            </w:r>
            <w:r>
              <w:rPr>
                <w:rStyle w:val="Sautdindex"/>
                <w:vanish w:val="false"/>
              </w:rPr>
              <w:tab/>
              <w:t>8</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69">
            <w:r>
              <w:rPr>
                <w:webHidden/>
                <w:rStyle w:val="Sautdindex"/>
              </w:rPr>
              <w:t>2.2.1</w:t>
            </w:r>
            <w:r>
              <w:rPr>
                <w:rStyle w:val="Sautdindex"/>
                <w:rFonts w:eastAsia="" w:ascii="Calibri" w:hAnsi="Calibri" w:asciiTheme="minorHAnsi" w:eastAsiaTheme="minorEastAsia" w:hAnsiTheme="minorHAnsi"/>
                <w:lang w:eastAsia="fr-FR"/>
              </w:rPr>
              <w:tab/>
            </w:r>
            <w:r>
              <w:rPr>
                <w:rStyle w:val="Sautdindex"/>
              </w:rPr>
              <w:t>La stratification</w:t>
            </w:r>
            <w:r>
              <w:rPr>
                <w:webHidden/>
              </w:rPr>
              <w:fldChar w:fldCharType="begin"/>
            </w:r>
            <w:r>
              <w:rPr>
                <w:webHidden/>
              </w:rPr>
              <w:instrText>PAGEREF _Toc33726969 \h</w:instrText>
            </w:r>
            <w:r>
              <w:rPr>
                <w:webHidden/>
              </w:rPr>
              <w:fldChar w:fldCharType="separate"/>
            </w:r>
            <w:r>
              <w:rPr>
                <w:rStyle w:val="Sautdindex"/>
                <w:vanish w:val="false"/>
              </w:rPr>
              <w:tab/>
              <w:t>9</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0">
            <w:r>
              <w:rPr>
                <w:webHidden/>
                <w:rStyle w:val="Sautdindex"/>
              </w:rPr>
              <w:t>2.2.2</w:t>
            </w:r>
            <w:r>
              <w:rPr>
                <w:rStyle w:val="Sautdindex"/>
                <w:rFonts w:eastAsia="" w:ascii="Calibri" w:hAnsi="Calibri" w:asciiTheme="minorHAnsi" w:eastAsiaTheme="minorEastAsia" w:hAnsiTheme="minorHAnsi"/>
                <w:lang w:eastAsia="fr-FR"/>
              </w:rPr>
              <w:tab/>
            </w:r>
            <w:r>
              <w:rPr>
                <w:rStyle w:val="Sautdindex"/>
              </w:rPr>
              <w:t>La richesse en espèces ligneuses</w:t>
            </w:r>
            <w:r>
              <w:rPr>
                <w:webHidden/>
              </w:rPr>
              <w:fldChar w:fldCharType="begin"/>
            </w:r>
            <w:r>
              <w:rPr>
                <w:webHidden/>
              </w:rPr>
              <w:instrText>PAGEREF _Toc33726970 \h</w:instrText>
            </w:r>
            <w:r>
              <w:rPr>
                <w:webHidden/>
              </w:rPr>
              <w:fldChar w:fldCharType="separate"/>
            </w:r>
            <w:r>
              <w:rPr>
                <w:rStyle w:val="Sautdindex"/>
                <w:vanish w:val="false"/>
              </w:rPr>
              <w:tab/>
              <w:t>10</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1">
            <w:r>
              <w:rPr>
                <w:webHidden/>
                <w:rStyle w:val="Sautdindex"/>
              </w:rPr>
              <w:t>2.2.3</w:t>
            </w:r>
            <w:r>
              <w:rPr>
                <w:rStyle w:val="Sautdindex"/>
                <w:rFonts w:eastAsia="" w:ascii="Calibri" w:hAnsi="Calibri" w:asciiTheme="minorHAnsi" w:eastAsiaTheme="minorEastAsia" w:hAnsiTheme="minorHAnsi"/>
                <w:lang w:eastAsia="fr-FR"/>
              </w:rPr>
              <w:tab/>
            </w:r>
            <w:r>
              <w:rPr>
                <w:rStyle w:val="Sautdindex"/>
              </w:rPr>
              <w:t>Arbres porteurs de micro-habitats</w:t>
            </w:r>
            <w:r>
              <w:rPr>
                <w:webHidden/>
              </w:rPr>
              <w:fldChar w:fldCharType="begin"/>
            </w:r>
            <w:r>
              <w:rPr>
                <w:webHidden/>
              </w:rPr>
              <w:instrText>PAGEREF _Toc33726971 \h</w:instrText>
            </w:r>
            <w:r>
              <w:rPr>
                <w:webHidden/>
              </w:rPr>
              <w:fldChar w:fldCharType="separate"/>
            </w:r>
            <w:r>
              <w:rPr>
                <w:rStyle w:val="Sautdindex"/>
                <w:vanish w:val="false"/>
              </w:rPr>
              <w:tab/>
              <w:t>11</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2">
            <w:r>
              <w:rPr>
                <w:webHidden/>
                <w:rStyle w:val="Sautdindex"/>
              </w:rPr>
              <w:t>2.2.4</w:t>
            </w:r>
            <w:r>
              <w:rPr>
                <w:rStyle w:val="Sautdindex"/>
                <w:rFonts w:eastAsia="" w:ascii="Calibri" w:hAnsi="Calibri" w:asciiTheme="minorHAnsi" w:eastAsiaTheme="minorEastAsia" w:hAnsiTheme="minorHAnsi"/>
                <w:lang w:eastAsia="fr-FR"/>
              </w:rPr>
              <w:tab/>
            </w:r>
            <w:r>
              <w:rPr>
                <w:rStyle w:val="Sautdindex"/>
              </w:rPr>
              <w:t>La strate herbacée et sa gestion</w:t>
            </w:r>
            <w:r>
              <w:rPr>
                <w:webHidden/>
              </w:rPr>
              <w:fldChar w:fldCharType="begin"/>
            </w:r>
            <w:r>
              <w:rPr>
                <w:webHidden/>
              </w:rPr>
              <w:instrText>PAGEREF _Toc33726972 \h</w:instrText>
            </w:r>
            <w:r>
              <w:rPr>
                <w:webHidden/>
              </w:rPr>
              <w:fldChar w:fldCharType="separate"/>
            </w:r>
            <w:r>
              <w:rPr>
                <w:rStyle w:val="Sautdindex"/>
                <w:vanish w:val="false"/>
              </w:rPr>
              <w:tab/>
              <w:t>12</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3">
            <w:r>
              <w:rPr>
                <w:webHidden/>
                <w:rStyle w:val="Sautdindex"/>
              </w:rPr>
              <w:t>2.2.5</w:t>
            </w:r>
            <w:r>
              <w:rPr>
                <w:rStyle w:val="Sautdindex"/>
                <w:rFonts w:eastAsia="" w:ascii="Calibri" w:hAnsi="Calibri" w:asciiTheme="minorHAnsi" w:eastAsiaTheme="minorEastAsia" w:hAnsiTheme="minorHAnsi"/>
                <w:lang w:eastAsia="fr-FR"/>
              </w:rPr>
              <w:tab/>
            </w:r>
            <w:r>
              <w:rPr>
                <w:rStyle w:val="Sautdindex"/>
              </w:rPr>
              <w:t>Les espèces herbacées : les fleurs</w:t>
            </w:r>
            <w:r>
              <w:rPr>
                <w:webHidden/>
              </w:rPr>
              <w:fldChar w:fldCharType="begin"/>
            </w:r>
            <w:r>
              <w:rPr>
                <w:webHidden/>
              </w:rPr>
              <w:instrText>PAGEREF _Toc33726973 \h</w:instrText>
            </w:r>
            <w:r>
              <w:rPr>
                <w:webHidden/>
              </w:rPr>
              <w:fldChar w:fldCharType="separate"/>
            </w:r>
            <w:r>
              <w:rPr>
                <w:rStyle w:val="Sautdindex"/>
                <w:vanish w:val="false"/>
              </w:rPr>
              <w:tab/>
              <w:t>13</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4">
            <w:r>
              <w:rPr>
                <w:webHidden/>
                <w:rStyle w:val="Sautdindex"/>
              </w:rPr>
              <w:t>2.2.6</w:t>
            </w:r>
            <w:r>
              <w:rPr>
                <w:rStyle w:val="Sautdindex"/>
                <w:rFonts w:eastAsia="" w:ascii="Calibri" w:hAnsi="Calibri" w:asciiTheme="minorHAnsi" w:eastAsiaTheme="minorEastAsia" w:hAnsiTheme="minorHAnsi"/>
                <w:lang w:eastAsia="fr-FR"/>
              </w:rPr>
              <w:tab/>
            </w:r>
            <w:r>
              <w:rPr>
                <w:rStyle w:val="Sautdindex"/>
              </w:rPr>
              <w:t>Clôtures, murs et haies</w:t>
            </w:r>
            <w:r>
              <w:rPr>
                <w:webHidden/>
              </w:rPr>
              <w:fldChar w:fldCharType="begin"/>
            </w:r>
            <w:r>
              <w:rPr>
                <w:webHidden/>
              </w:rPr>
              <w:instrText>PAGEREF _Toc33726974 \h</w:instrText>
            </w:r>
            <w:r>
              <w:rPr>
                <w:webHidden/>
              </w:rPr>
              <w:fldChar w:fldCharType="separate"/>
            </w:r>
            <w:r>
              <w:rPr>
                <w:rStyle w:val="Sautdindex"/>
                <w:vanish w:val="false"/>
              </w:rPr>
              <w:tab/>
              <w:t>16</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5">
            <w:r>
              <w:rPr>
                <w:webHidden/>
                <w:rStyle w:val="Sautdindex"/>
              </w:rPr>
              <w:t>2.2.7</w:t>
            </w:r>
            <w:r>
              <w:rPr>
                <w:rStyle w:val="Sautdindex"/>
                <w:rFonts w:eastAsia="" w:ascii="Calibri" w:hAnsi="Calibri" w:asciiTheme="minorHAnsi" w:eastAsiaTheme="minorEastAsia" w:hAnsiTheme="minorHAnsi"/>
                <w:lang w:eastAsia="fr-FR"/>
              </w:rPr>
              <w:tab/>
            </w:r>
            <w:r>
              <w:rPr>
                <w:rStyle w:val="Sautdindex"/>
              </w:rPr>
              <w:t>Espèces exotiques envahissantes</w:t>
            </w:r>
            <w:r>
              <w:rPr>
                <w:webHidden/>
              </w:rPr>
              <w:fldChar w:fldCharType="begin"/>
            </w:r>
            <w:r>
              <w:rPr>
                <w:webHidden/>
              </w:rPr>
              <w:instrText>PAGEREF _Toc33726975 \h</w:instrText>
            </w:r>
            <w:r>
              <w:rPr>
                <w:webHidden/>
              </w:rPr>
              <w:fldChar w:fldCharType="separate"/>
            </w:r>
            <w:r>
              <w:rPr>
                <w:rStyle w:val="Sautdindex"/>
                <w:vanish w:val="false"/>
              </w:rPr>
              <w:tab/>
              <w:t>17</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6">
            <w:r>
              <w:rPr>
                <w:webHidden/>
                <w:rStyle w:val="Sautdindex"/>
              </w:rPr>
              <w:t>2.2.8</w:t>
            </w:r>
            <w:r>
              <w:rPr>
                <w:rStyle w:val="Sautdindex"/>
                <w:rFonts w:eastAsia="" w:ascii="Calibri" w:hAnsi="Calibri" w:asciiTheme="minorHAnsi" w:eastAsiaTheme="minorEastAsia" w:hAnsiTheme="minorHAnsi"/>
                <w:lang w:eastAsia="fr-FR"/>
              </w:rPr>
              <w:tab/>
            </w:r>
            <w:r>
              <w:rPr>
                <w:rStyle w:val="Sautdindex"/>
              </w:rPr>
              <w:t>Installations pour la biodiversité</w:t>
            </w:r>
            <w:r>
              <w:rPr>
                <w:webHidden/>
              </w:rPr>
              <w:fldChar w:fldCharType="begin"/>
            </w:r>
            <w:r>
              <w:rPr>
                <w:webHidden/>
              </w:rPr>
              <w:instrText>PAGEREF _Toc33726976 \h</w:instrText>
            </w:r>
            <w:r>
              <w:rPr>
                <w:webHidden/>
              </w:rPr>
              <w:fldChar w:fldCharType="separate"/>
            </w:r>
            <w:r>
              <w:rPr>
                <w:rStyle w:val="Sautdindex"/>
                <w:vanish w:val="false"/>
              </w:rPr>
              <w:tab/>
              <w:t>18</w:t>
            </w:r>
            <w:r>
              <w:rPr>
                <w:webHidden/>
              </w:rPr>
              <w:fldChar w:fldCharType="end"/>
            </w:r>
          </w:hyperlink>
        </w:p>
        <w:p>
          <w:pPr>
            <w:pStyle w:val="Tabledesmatiresniveau3"/>
            <w:tabs>
              <w:tab w:val="clear" w:pos="708"/>
              <w:tab w:val="left" w:pos="1320" w:leader="none"/>
              <w:tab w:val="right" w:pos="9062" w:leader="dot"/>
            </w:tabs>
            <w:rPr>
              <w:rFonts w:ascii="Calibri" w:hAnsi="Calibri" w:eastAsia="" w:asciiTheme="minorHAnsi" w:eastAsiaTheme="minorEastAsia" w:hAnsiTheme="minorHAnsi"/>
              <w:lang w:eastAsia="fr-FR"/>
            </w:rPr>
          </w:pPr>
          <w:hyperlink w:anchor="_Toc33726977">
            <w:r>
              <w:rPr>
                <w:webHidden/>
                <w:rStyle w:val="Sautdindex"/>
              </w:rPr>
              <w:t>2.2.9</w:t>
            </w:r>
            <w:r>
              <w:rPr>
                <w:rStyle w:val="Sautdindex"/>
                <w:rFonts w:eastAsia="" w:ascii="Calibri" w:hAnsi="Calibri" w:asciiTheme="minorHAnsi" w:eastAsiaTheme="minorEastAsia" w:hAnsiTheme="minorHAnsi"/>
                <w:lang w:eastAsia="fr-FR"/>
              </w:rPr>
              <w:tab/>
            </w:r>
            <w:r>
              <w:rPr>
                <w:rStyle w:val="Sautdindex"/>
              </w:rPr>
              <w:t>Proximité de réservoir de biodiversité</w:t>
            </w:r>
            <w:r>
              <w:rPr>
                <w:webHidden/>
              </w:rPr>
              <w:fldChar w:fldCharType="begin"/>
            </w:r>
            <w:r>
              <w:rPr>
                <w:webHidden/>
              </w:rPr>
              <w:instrText>PAGEREF _Toc33726977 \h</w:instrText>
            </w:r>
            <w:r>
              <w:rPr>
                <w:webHidden/>
              </w:rPr>
              <w:fldChar w:fldCharType="separate"/>
            </w:r>
            <w:r>
              <w:rPr>
                <w:rStyle w:val="Sautdindex"/>
                <w:vanish w:val="false"/>
              </w:rPr>
              <w:tab/>
              <w:t>19</w:t>
            </w:r>
            <w:r>
              <w:rPr>
                <w:webHidden/>
              </w:rPr>
              <w:fldChar w:fldCharType="end"/>
            </w:r>
          </w:hyperlink>
        </w:p>
        <w:p>
          <w:pPr>
            <w:pStyle w:val="Tabledesmatiresniveau2"/>
            <w:tabs>
              <w:tab w:val="clear" w:pos="708"/>
              <w:tab w:val="left" w:pos="880" w:leader="none"/>
              <w:tab w:val="right" w:pos="9062" w:leader="dot"/>
            </w:tabs>
            <w:rPr>
              <w:rFonts w:ascii="Calibri" w:hAnsi="Calibri" w:eastAsia="" w:asciiTheme="minorHAnsi" w:eastAsiaTheme="minorEastAsia" w:hAnsiTheme="minorHAnsi"/>
              <w:lang w:eastAsia="fr-FR"/>
            </w:rPr>
          </w:pPr>
          <w:hyperlink w:anchor="_Toc33726978">
            <w:r>
              <w:rPr>
                <w:webHidden/>
                <w:rStyle w:val="Sautdindex"/>
              </w:rPr>
              <w:t>2.3</w:t>
            </w:r>
            <w:r>
              <w:rPr>
                <w:rStyle w:val="Sautdindex"/>
                <w:rFonts w:eastAsia="" w:ascii="Calibri" w:hAnsi="Calibri" w:asciiTheme="minorHAnsi" w:eastAsiaTheme="minorEastAsia" w:hAnsiTheme="minorHAnsi"/>
                <w:lang w:eastAsia="fr-FR"/>
              </w:rPr>
              <w:tab/>
            </w:r>
            <w:r>
              <w:rPr>
                <w:rStyle w:val="Sautdindex"/>
              </w:rPr>
              <w:t>La réalisation des documents</w:t>
            </w:r>
            <w:r>
              <w:rPr>
                <w:webHidden/>
              </w:rPr>
              <w:fldChar w:fldCharType="begin"/>
            </w:r>
            <w:r>
              <w:rPr>
                <w:webHidden/>
              </w:rPr>
              <w:instrText>PAGEREF _Toc33726978 \h</w:instrText>
            </w:r>
            <w:r>
              <w:rPr>
                <w:webHidden/>
              </w:rPr>
              <w:fldChar w:fldCharType="separate"/>
            </w:r>
            <w:r>
              <w:rPr>
                <w:rStyle w:val="Sautdindex"/>
                <w:vanish w:val="false"/>
              </w:rPr>
              <w:tab/>
              <w:t>20</w:t>
            </w:r>
            <w:r>
              <w:rPr>
                <w:webHidden/>
              </w:rPr>
              <w:fldChar w:fldCharType="end"/>
            </w:r>
          </w:hyperlink>
        </w:p>
        <w:p>
          <w:pPr>
            <w:pStyle w:val="Normal"/>
            <w:rPr/>
          </w:pPr>
          <w:r>
            <w:rPr/>
          </w:r>
          <w:r>
            <w:rPr/>
            <w:fldChar w:fldCharType="end"/>
          </w:r>
        </w:p>
      </w:sdtContent>
    </w:sdt>
    <w:p>
      <w:pPr>
        <w:pStyle w:val="Normal"/>
        <w:spacing w:lineRule="auto" w:line="259" w:before="0" w:after="160"/>
        <w:jc w:val="left"/>
        <w:rPr/>
      </w:pPr>
      <w:r>
        <w:rPr/>
      </w:r>
      <w:r>
        <w:br w:type="page"/>
      </w:r>
    </w:p>
    <w:p>
      <w:pPr>
        <w:pStyle w:val="Titre1"/>
        <w:numPr>
          <w:ilvl w:val="0"/>
          <w:numId w:val="2"/>
        </w:numPr>
        <w:ind w:left="431" w:hanging="431"/>
        <w:rPr/>
      </w:pPr>
      <w:bookmarkStart w:id="1" w:name="_Toc33726963"/>
      <w:r>
        <w:rPr/>
        <w:t>Présentation de l’indicateur RENATU : qu’est-ce que l’indicateur ? A quoi sert-il ? Comment a-t-il été conçu ?</w:t>
      </w:r>
      <w:bookmarkEnd w:id="1"/>
    </w:p>
    <w:p>
      <w:pPr>
        <w:pStyle w:val="Titre2"/>
        <w:numPr>
          <w:ilvl w:val="1"/>
          <w:numId w:val="2"/>
        </w:numPr>
        <w:ind w:left="578" w:hanging="578"/>
        <w:rPr/>
      </w:pPr>
      <w:bookmarkStart w:id="2" w:name="_Toc33726964"/>
      <w:r>
        <w:rPr/>
        <w:t>Qu’est-ce que l’indicateur RENATU ?</w:t>
      </w:r>
      <w:bookmarkEnd w:id="2"/>
    </w:p>
    <w:p>
      <w:pPr>
        <w:pStyle w:val="Normal"/>
        <w:rPr/>
      </w:pPr>
      <w:r>
        <w:rPr/>
        <w:t>L’indicateur RENATU (pour RENATUration) a pour vocation d’aider les gestionnaires d’infrastructures (rail, route, voie d’eau, emprises électriques de lignes à haute tension, d’éoliennes, de fermes photovoltaïques etc.), d’espaces verts d’entreprise ou urbains à évaluer la biodiversité potentielle. Il a été conçu et validé scientifiquement dans le cadre du programme ITTECOP (Infrastructures de Transport Terrestres, Ecosystèmes et Paysages) du Ministère de la Transition Ecologique et Solidaire.</w:t>
      </w:r>
    </w:p>
    <w:p>
      <w:pPr>
        <w:pStyle w:val="Normal"/>
        <w:rPr>
          <w:b/>
          <w:b/>
        </w:rPr>
      </w:pPr>
      <w:r>
        <w:rPr/>
        <w:t xml:space="preserve">L’indicateur est le résultat d’un travail scientifique mené par une équipe pluridisciplinaire de chercheurs, écologues, géographes (Nathalie Frascaria-Lacoste du Laboratoire ESE- Ecologie, Systématique et Evolution, Pierre Pech et Laurent Simon du Laboratoire LADYSS, Unité Mixte de Recherche du CNRS, ainsi que leurs étudiants). Cette équipe a travaillé durant quatre ans sur l’analyse des processus de renaturation en tissu urbain dense en relation avec les infrastructures. Des publications scientifiques ont été effectuées et sont téléchargeables sur le site du Programme ITTECOP. Les chercheurs ont travaillé en partenariat avec les opérationnels pour élaborer cet outil d’aide à la décision pour les opérateurs publics et privés : </w:t>
      </w:r>
      <w:r>
        <w:rPr>
          <w:b/>
        </w:rPr>
        <w:t>l’indicateur RENATU.</w:t>
      </w:r>
    </w:p>
    <w:p>
      <w:pPr>
        <w:pStyle w:val="Normal"/>
        <w:rPr/>
      </w:pPr>
      <w:r>
        <w:rPr/>
        <w:t>Celui-ci permet :</w:t>
      </w:r>
    </w:p>
    <w:p>
      <w:pPr>
        <w:pStyle w:val="Puces"/>
        <w:numPr>
          <w:ilvl w:val="6"/>
          <w:numId w:val="3"/>
        </w:numPr>
        <w:ind w:left="284" w:hanging="284"/>
        <w:rPr/>
      </w:pPr>
      <w:r>
        <w:rPr/>
        <w:t xml:space="preserve"> </w:t>
      </w:r>
      <w:r>
        <w:rPr/>
        <w:t xml:space="preserve">D’estimer le potentiel </w:t>
      </w:r>
      <w:r>
        <w:rPr>
          <w:b/>
          <w:u w:val="single"/>
        </w:rPr>
        <w:t>d’accueil de la biodiversité</w:t>
      </w:r>
      <w:r>
        <w:rPr/>
        <w:t xml:space="preserve"> dans des emprises d’ILT (Infrastructures Linéaires de Transport), sur des sites industriels ou encore dans des espaces à aménager ou aménagés ;</w:t>
      </w:r>
    </w:p>
    <w:p>
      <w:pPr>
        <w:pStyle w:val="Puces"/>
        <w:numPr>
          <w:ilvl w:val="6"/>
          <w:numId w:val="3"/>
        </w:numPr>
        <w:ind w:left="284" w:hanging="284"/>
        <w:rPr/>
      </w:pPr>
      <w:r>
        <w:rPr>
          <w:b/>
          <w:u w:val="single"/>
        </w:rPr>
        <w:t>D’orienter les pratiques de gestion</w:t>
      </w:r>
      <w:r>
        <w:rPr/>
        <w:t xml:space="preserve"> pour préserver et améliorer cette biodiversité ;</w:t>
      </w:r>
    </w:p>
    <w:p>
      <w:pPr>
        <w:pStyle w:val="Puces"/>
        <w:numPr>
          <w:ilvl w:val="6"/>
          <w:numId w:val="3"/>
        </w:numPr>
        <w:ind w:left="284" w:hanging="284"/>
        <w:rPr/>
      </w:pPr>
      <w:r>
        <w:rPr/>
        <w:t xml:space="preserve">De permettre un </w:t>
      </w:r>
      <w:r>
        <w:rPr>
          <w:b/>
          <w:u w:val="single"/>
        </w:rPr>
        <w:t>bilan comparatif de l’état de santé</w:t>
      </w:r>
      <w:r>
        <w:rPr/>
        <w:t xml:space="preserve"> de la biodiversité sur plusieurs sites (ILTe et/ou espaces urbanisés) ;</w:t>
      </w:r>
    </w:p>
    <w:p>
      <w:pPr>
        <w:pStyle w:val="Puces"/>
        <w:numPr>
          <w:ilvl w:val="6"/>
          <w:numId w:val="3"/>
        </w:numPr>
        <w:ind w:left="284" w:hanging="284"/>
        <w:rPr/>
      </w:pPr>
      <w:r>
        <w:rPr/>
        <w:t xml:space="preserve">De permettre </w:t>
      </w:r>
      <w:r>
        <w:rPr>
          <w:b/>
          <w:u w:val="single"/>
        </w:rPr>
        <w:t>un suivi dans le temps</w:t>
      </w:r>
      <w:r>
        <w:rPr/>
        <w:t xml:space="preserve"> (répliquer les mesures une fois tous les ans ou bien tous les deux ans) ;</w:t>
      </w:r>
    </w:p>
    <w:p>
      <w:pPr>
        <w:pStyle w:val="Puces"/>
        <w:numPr>
          <w:ilvl w:val="6"/>
          <w:numId w:val="3"/>
        </w:numPr>
        <w:ind w:left="284" w:hanging="284"/>
        <w:rPr/>
      </w:pPr>
      <w:r>
        <w:rPr>
          <w:b/>
          <w:u w:val="single"/>
        </w:rPr>
        <w:t>De sensibiliser</w:t>
      </w:r>
      <w:r>
        <w:rPr/>
        <w:t xml:space="preserve"> les gestionnaires par l’appropriation des questions relatives à la biodiversité ;</w:t>
      </w:r>
    </w:p>
    <w:p>
      <w:pPr>
        <w:pStyle w:val="Puces"/>
        <w:numPr>
          <w:ilvl w:val="6"/>
          <w:numId w:val="3"/>
        </w:numPr>
        <w:ind w:left="284" w:hanging="284"/>
        <w:rPr/>
      </w:pPr>
      <w:r>
        <w:rPr/>
        <w:t xml:space="preserve">D’effectuer, éventuellement un </w:t>
      </w:r>
      <w:r>
        <w:rPr>
          <w:b/>
          <w:u w:val="single"/>
        </w:rPr>
        <w:t>suivi statistique</w:t>
      </w:r>
      <w:r>
        <w:rPr/>
        <w:t xml:space="preserve"> des données recueillies à l’aide d’un outil de données courant comme Excel.</w:t>
      </w:r>
    </w:p>
    <w:p>
      <w:pPr>
        <w:pStyle w:val="Normal"/>
        <w:rPr/>
      </w:pPr>
      <w:r>
        <w:rPr/>
      </w:r>
    </w:p>
    <w:p>
      <w:pPr>
        <w:pStyle w:val="Normal"/>
        <w:spacing w:lineRule="auto" w:line="259" w:before="0" w:after="160"/>
        <w:jc w:val="left"/>
        <w:rPr/>
      </w:pPr>
      <w:r>
        <w:rPr/>
      </w:r>
      <w:r>
        <w:br w:type="page"/>
      </w:r>
    </w:p>
    <w:p>
      <w:pPr>
        <w:pStyle w:val="Normal"/>
        <w:rPr/>
      </w:pPr>
      <w:r>
        <w:rPr/>
        <w:t xml:space="preserve">L’indicateur peut être utilisé </w:t>
      </w:r>
      <w:r>
        <w:rPr>
          <w:b/>
        </w:rPr>
        <w:t>en amont</w:t>
      </w:r>
      <w:r>
        <w:rPr/>
        <w:t xml:space="preserve"> d’un projet, mais également en phase </w:t>
      </w:r>
      <w:r>
        <w:rPr>
          <w:b/>
        </w:rPr>
        <w:t>post-projet</w:t>
      </w:r>
      <w:r>
        <w:rPr/>
        <w:t xml:space="preserve">. Créé à des fins d’utilisation opérationnelle et en vue de sensibiliser les personnels, il a été construit selon des critères particuliers :  </w:t>
      </w:r>
    </w:p>
    <w:p>
      <w:pPr>
        <w:pStyle w:val="Puces"/>
        <w:numPr>
          <w:ilvl w:val="6"/>
          <w:numId w:val="3"/>
        </w:numPr>
        <w:ind w:left="284" w:hanging="284"/>
        <w:rPr/>
      </w:pPr>
      <w:r>
        <w:rPr/>
        <w:t>Facilité d’utilisation et simplicité d’interprétation ;</w:t>
      </w:r>
    </w:p>
    <w:p>
      <w:pPr>
        <w:pStyle w:val="Puces"/>
        <w:numPr>
          <w:ilvl w:val="6"/>
          <w:numId w:val="3"/>
        </w:numPr>
        <w:ind w:left="284" w:hanging="284"/>
        <w:rPr/>
      </w:pPr>
      <w:r>
        <w:rPr/>
        <w:t>Rapidité de mise en place ;</w:t>
      </w:r>
    </w:p>
    <w:p>
      <w:pPr>
        <w:pStyle w:val="Puces"/>
        <w:numPr>
          <w:ilvl w:val="6"/>
          <w:numId w:val="3"/>
        </w:numPr>
        <w:ind w:left="284" w:hanging="284"/>
        <w:rPr/>
      </w:pPr>
      <w:r>
        <w:rPr/>
        <w:t>Reproductibilité dans le temps et l’espace ;</w:t>
      </w:r>
    </w:p>
    <w:p>
      <w:pPr>
        <w:pStyle w:val="Puces"/>
        <w:numPr>
          <w:ilvl w:val="6"/>
          <w:numId w:val="3"/>
        </w:numPr>
        <w:ind w:left="284" w:hanging="284"/>
        <w:rPr/>
      </w:pPr>
      <w:r>
        <w:rPr/>
        <w:t>Ne nécessitant pas d’inventaire naturaliste (ne s’y substitue pas pour autant) ;</w:t>
      </w:r>
    </w:p>
    <w:p>
      <w:pPr>
        <w:pStyle w:val="Puces"/>
        <w:numPr>
          <w:ilvl w:val="6"/>
          <w:numId w:val="3"/>
        </w:numPr>
        <w:ind w:left="284" w:hanging="284"/>
        <w:rPr/>
      </w:pPr>
      <w:r>
        <w:rPr/>
        <w:t>Peu couteux.</w:t>
      </w:r>
    </w:p>
    <w:p>
      <w:pPr>
        <w:pStyle w:val="Normal"/>
        <w:rPr/>
      </w:pPr>
      <w:r>
        <w:rPr/>
        <w:t>L’indicateur a été testé sur plus de 100 sites (une cinquantaine le long d’un tramway à l’ouest de Paris, une dizaine le long de voies ferrées, une cinquantaine dans des sites industriels variés, carrières, emprises de construction automobile etc.)</w:t>
      </w:r>
    </w:p>
    <w:p>
      <w:pPr>
        <w:pStyle w:val="Titre2"/>
        <w:numPr>
          <w:ilvl w:val="1"/>
          <w:numId w:val="2"/>
        </w:numPr>
        <w:ind w:left="578" w:hanging="578"/>
        <w:rPr/>
      </w:pPr>
      <w:bookmarkStart w:id="3" w:name="_Toc33726965"/>
      <w:r>
        <w:rPr/>
        <w:t>Principes de l’indicateur RENATU</w:t>
      </w:r>
      <w:bookmarkEnd w:id="3"/>
    </w:p>
    <w:p>
      <w:pPr>
        <w:pStyle w:val="Puces"/>
        <w:numPr>
          <w:ilvl w:val="6"/>
          <w:numId w:val="3"/>
        </w:numPr>
        <w:ind w:left="284" w:hanging="284"/>
        <w:rPr/>
      </w:pPr>
      <w:r>
        <w:rPr/>
        <w:t xml:space="preserve">Un indicateur composite : </w:t>
      </w:r>
      <w:r>
        <w:rPr>
          <w:b/>
        </w:rPr>
        <w:t>9 catégories/indices</w:t>
      </w:r>
      <w:r>
        <w:rPr/>
        <w:t> : (stratification, richesse en espèces ligneuses, arbres porteurs de micro-habitats, la strate herbacée et sa gestion, les espèces herbacées, clôtures, murs et haies, espèces exotiques envahissantes, installations pour la biodiversité, proximité de réservoirs de biodiversité) détaillés dans la deuxième partie ;</w:t>
      </w:r>
    </w:p>
    <w:p>
      <w:pPr>
        <w:pStyle w:val="Puces"/>
        <w:numPr>
          <w:ilvl w:val="6"/>
          <w:numId w:val="3"/>
        </w:numPr>
        <w:ind w:left="284" w:hanging="284"/>
        <w:rPr/>
      </w:pPr>
      <w:r>
        <w:rPr/>
        <w:t xml:space="preserve">Une notation simple à effectuer pour chaque indice à l’aide d’une </w:t>
      </w:r>
      <w:r>
        <w:rPr>
          <w:b/>
        </w:rPr>
        <w:t>échelle de 0 à 5</w:t>
      </w:r>
      <w:r>
        <w:rPr/>
        <w:t> ;</w:t>
      </w:r>
    </w:p>
    <w:p>
      <w:pPr>
        <w:pStyle w:val="Puces"/>
        <w:numPr>
          <w:ilvl w:val="6"/>
          <w:numId w:val="3"/>
        </w:numPr>
        <w:ind w:left="284" w:hanging="284"/>
        <w:rPr/>
      </w:pPr>
      <w:r>
        <w:rPr/>
        <w:t>Applicable sur les espaces où une gestion extensive est possible ;</w:t>
      </w:r>
    </w:p>
    <w:p>
      <w:pPr>
        <w:pStyle w:val="Puces"/>
        <w:numPr>
          <w:ilvl w:val="6"/>
          <w:numId w:val="3"/>
        </w:numPr>
        <w:ind w:left="284" w:hanging="284"/>
        <w:rPr/>
      </w:pPr>
      <w:r>
        <w:rPr>
          <w:b/>
        </w:rPr>
        <w:t>Période idéale</w:t>
      </w:r>
      <w:r>
        <w:rPr/>
        <w:t xml:space="preserve"> d’utilisation : au moment de la floraison, c’est-à-dire de juin à juillet en région tempérée de latitude nord. L’utilisation de l’indicateur est donc à ajuster en fonction du lieu d’utilisation. Par exemple les périodes de floraison peuvent varier du Nord au Sud de la France. Il est cependant possible d’élargir la période d’utilisation d’avril (pour les floraisons précoces) à mi-août ;</w:t>
      </w:r>
    </w:p>
    <w:p>
      <w:pPr>
        <w:pStyle w:val="Puces"/>
        <w:numPr>
          <w:ilvl w:val="6"/>
          <w:numId w:val="3"/>
        </w:numPr>
        <w:ind w:left="284" w:hanging="284"/>
        <w:rPr/>
      </w:pPr>
      <w:r>
        <w:rPr/>
        <w:t xml:space="preserve">Adaptable à </w:t>
      </w:r>
      <w:r>
        <w:rPr>
          <w:b/>
        </w:rPr>
        <w:t>tous types d’espaces de nature</w:t>
      </w:r>
      <w:r>
        <w:rPr/>
        <w:t>, le long d’ILT, sur des sites industriels ou dans des aménagements urbains ;</w:t>
      </w:r>
    </w:p>
    <w:p>
      <w:pPr>
        <w:pStyle w:val="Puces"/>
        <w:numPr>
          <w:ilvl w:val="6"/>
          <w:numId w:val="3"/>
        </w:numPr>
        <w:ind w:left="284" w:hanging="284"/>
        <w:rPr/>
      </w:pPr>
      <w:r>
        <w:rPr>
          <w:b/>
        </w:rPr>
        <w:t>Résultats</w:t>
      </w:r>
      <w:r>
        <w:rPr/>
        <w:t xml:space="preserve"> représentables sur un diagramme radar auxquels il est possible d’ajouter une cartographie.</w:t>
      </w:r>
    </w:p>
    <w:p>
      <w:pPr>
        <w:pStyle w:val="Normal"/>
        <w:rPr/>
      </w:pPr>
      <w:r>
        <w:rPr/>
      </w:r>
    </w:p>
    <w:p>
      <w:pPr>
        <w:pStyle w:val="Normal"/>
        <w:rPr/>
      </w:pPr>
      <w:r>
        <w:rPr/>
        <w:t xml:space="preserve">Son principe de construction repose sur le constat, en écologie, qu’un milieu naturel, que ce soit un espace vert, un écosystème, un paysage, une pelouse, un bosquet d’arbustes, une mare, une forêt etc. est complexe. En effet chacun d’entre eux est constitué de composants variés, de l’herbe, des fleurs, des arbustes, des arbres, des oiseaux, des insectes, des papillons etc. : rares sont les milieux composés d’une seule espèce ou alors il s’agit de milieux cultivés avec des méthodes draconiennes qui empêche le développement d’autres espèces. L’intérêt d’un milieu varié dans ses composants est qu’il renferme une certaine </w:t>
      </w:r>
      <w:r>
        <w:rPr>
          <w:b/>
        </w:rPr>
        <w:t>biodiversité</w:t>
      </w:r>
      <w:r>
        <w:rPr/>
        <w:t>. Celle-ci est constituée par cette variété des composants (flore et faune) mais aussi parce qu’il y a des interrelations entre ces composants : là un abri, ici des fruits pour se nourrir, un tronc qui sert de tuteur pour une liane etc. Cette plus ou moins grande complexité tout définit un état écologique avec sa biodiversité. En général, quelques éléments sont des indicateurs de cet état écologique : la présence de bois mort à terre témoigne de la vétusté des arbres et donc du site et permet d’envisager la présence d’insectes, de larves, de vers décomposeurs qui se nourrissent mais servent aussi comme autant d’éléments attractifs pour d’autres insectes ou des oiseaux. L’indicateur est construit de telle façon qu’il va vous renseigner sur cette complexité.</w:t>
      </w:r>
    </w:p>
    <w:p>
      <w:pPr>
        <w:pStyle w:val="Normal"/>
        <w:rPr/>
      </w:pPr>
      <w:r>
        <w:rPr/>
      </w:r>
    </w:p>
    <w:p>
      <w:pPr>
        <w:pStyle w:val="Normal"/>
        <w:spacing w:lineRule="auto" w:line="259" w:before="0" w:after="160"/>
        <w:jc w:val="left"/>
        <w:rPr/>
      </w:pPr>
      <w:r>
        <w:rPr/>
      </w:r>
      <w:r>
        <w:br w:type="page"/>
      </w:r>
    </w:p>
    <w:p>
      <w:pPr>
        <w:pStyle w:val="Titre1"/>
        <w:numPr>
          <w:ilvl w:val="0"/>
          <w:numId w:val="2"/>
        </w:numPr>
        <w:ind w:left="431" w:hanging="431"/>
        <w:rPr>
          <w:i/>
          <w:i/>
        </w:rPr>
      </w:pPr>
      <w:bookmarkStart w:id="4" w:name="_Toc33726966"/>
      <w:r>
        <w:rPr/>
        <w:t xml:space="preserve">L’indicateur RENATU : </w:t>
      </w:r>
      <w:r>
        <w:rPr>
          <w:i/>
        </w:rPr>
        <w:t>fonctionnement et indices</w:t>
      </w:r>
      <w:bookmarkEnd w:id="4"/>
    </w:p>
    <w:p>
      <w:pPr>
        <w:pStyle w:val="Titre2"/>
        <w:numPr>
          <w:ilvl w:val="1"/>
          <w:numId w:val="2"/>
        </w:numPr>
        <w:ind w:left="578" w:hanging="578"/>
        <w:rPr/>
      </w:pPr>
      <w:bookmarkStart w:id="5" w:name="_Toc33726967"/>
      <w:r>
        <w:rPr/>
        <w:t>Phase de repérage</w:t>
      </w:r>
      <w:bookmarkEnd w:id="5"/>
    </w:p>
    <w:p>
      <w:pPr>
        <w:pStyle w:val="Normal"/>
        <w:rPr/>
      </w:pPr>
      <w:r>
        <w:rPr/>
        <w:t xml:space="preserve">En général, un </w:t>
      </w:r>
      <w:r>
        <w:rPr>
          <w:b/>
        </w:rPr>
        <w:t>espace vert, une emprise en bordure d’infrastructure linéaire de transport ou au sein d’un espace industriel</w:t>
      </w:r>
      <w:r>
        <w:rPr/>
        <w:t xml:space="preserve"> est composé de plusieurs éléments de paysages, de secteurs différents. On les définit comme étant autant d’</w:t>
      </w:r>
      <w:r>
        <w:rPr>
          <w:b/>
        </w:rPr>
        <w:t>habitats</w:t>
      </w:r>
      <w:r>
        <w:rPr/>
        <w:t> : ils sont constitués de végétaux (pelouse, arbustes, arbres…), d’éléments aquatiques (une mare, un cours d’eau, une noue…) et ils sont susceptibles d’abriter une faune variée. L’indicateur est construit de telle façon qu’il va vous renseigner sur cette complexité.</w:t>
      </w:r>
    </w:p>
    <w:p>
      <w:pPr>
        <w:pStyle w:val="Normal"/>
        <w:rPr/>
      </w:pPr>
      <w:r>
        <w:rPr/>
        <w:t xml:space="preserve">L’objectif consiste, pour vous, à effectuer un </w:t>
      </w:r>
      <w:r>
        <w:rPr>
          <w:b/>
        </w:rPr>
        <w:t>plan d’étude</w:t>
      </w:r>
      <w:r>
        <w:rPr/>
        <w:t xml:space="preserve"> des caractéristiques de votre espace vert. Ce plan d’étude est important. Il peut vous permettre de montrer les efforts accomplis en matière de valorisation écologique de votre espace vert. Il est un outil de suivi et de veille écologique de l’état écologique de votre espace vert.</w:t>
      </w:r>
    </w:p>
    <w:p>
      <w:pPr>
        <w:pStyle w:val="Puces"/>
        <w:numPr>
          <w:ilvl w:val="6"/>
          <w:numId w:val="3"/>
        </w:numPr>
        <w:ind w:left="284" w:hanging="284"/>
        <w:rPr/>
      </w:pPr>
      <w:r>
        <w:rPr/>
        <w:t xml:space="preserve">Ce plan peut être produit sous la forme d’une photo générale que vous intégrez sur un logiciel de dessin (par exemple sur Power Point) et sur lequel vous délimitez les unités différentes du paysage, c’est-à-dire les </w:t>
      </w:r>
      <w:r>
        <w:rPr>
          <w:b/>
        </w:rPr>
        <w:t>habitats</w:t>
      </w:r>
      <w:r>
        <w:rPr/>
        <w:t xml:space="preserve">. </w:t>
      </w:r>
    </w:p>
    <w:p>
      <w:pPr>
        <w:pStyle w:val="Puces"/>
        <w:numPr>
          <w:ilvl w:val="6"/>
          <w:numId w:val="3"/>
        </w:numPr>
        <w:ind w:left="284" w:hanging="284"/>
        <w:rPr/>
      </w:pPr>
      <w:r>
        <w:rPr/>
        <w:t xml:space="preserve">Il peut aussi être repéré sous la forme d’un plan ou d’une carte de votre espace vert ou même il peut être représenté sur un Système d’Information Géographique. </w:t>
      </w:r>
    </w:p>
    <w:p>
      <w:pPr>
        <w:pStyle w:val="Normal"/>
        <w:rPr/>
      </w:pPr>
      <w:r>
        <w:rPr/>
        <w:t xml:space="preserve">Ce plan vous permettra de revenir au cours du temps sur les mêmes sites où vous aurez effectué la mesure des indices de l’indicateur RENATU et donc de comparer l’évolution, en mettant par exemple en évidence les bénéfices des mesures de bonne gestion que vous aurez appliquées. </w:t>
      </w:r>
    </w:p>
    <w:p>
      <w:pPr>
        <w:pStyle w:val="Normal"/>
        <w:rPr/>
      </w:pPr>
      <w:r>
        <w:rPr/>
        <w:t>Quelques étapes à suivre :</w:t>
      </w:r>
    </w:p>
    <w:p>
      <w:pPr>
        <w:pStyle w:val="Puces"/>
        <w:numPr>
          <w:ilvl w:val="6"/>
          <w:numId w:val="3"/>
        </w:numPr>
        <w:ind w:left="284" w:hanging="284"/>
        <w:rPr/>
      </w:pPr>
      <w:r>
        <w:rPr/>
        <w:t xml:space="preserve">En un premier temps, prendre le temps de </w:t>
      </w:r>
      <w:r>
        <w:rPr>
          <w:b/>
        </w:rPr>
        <w:t>regarder et d’observer l’espace vert</w:t>
      </w:r>
      <w:r>
        <w:rPr/>
        <w:t xml:space="preserve"> que vous souhaitez analyser avec l’indicateur RENATU : de quoi est-il constitué, y a-t-il plusieurs habitats (pelouse, bosquet, bois, haie, mare etc.) ? Si vous avez l’impression qu’au sein d’un habitat il existe des nuances dans la composition végétale, dans la forme du paysage, alors il est conseillé d’effectuer une séparation et de décider que vous avez deux ou trois habitats plutôt qu’un seul. </w:t>
      </w:r>
    </w:p>
    <w:p>
      <w:pPr>
        <w:pStyle w:val="Puces"/>
        <w:numPr>
          <w:ilvl w:val="6"/>
          <w:numId w:val="3"/>
        </w:numPr>
        <w:ind w:left="284" w:hanging="284"/>
        <w:rPr/>
      </w:pPr>
      <w:r>
        <w:rPr/>
        <w:t xml:space="preserve">La délimitation et le repérage des sites d’échantillonnage à l’aide de l’indicateur RENATU. C’est pour chaque habitat que vous avez défini qu’il vous faudra effectuer le relevé à l’aide de l’indicateur. Il n’existe pas de dimension type à la réalisation d’un relevé. Celui-ci peut s’effectuer tant sur une surface de quelques m² que sur des surfaces beaucoup plus vastes si l’habitat est homogène. En écologie, on préconise d’utiliser un carroyage de 10 m X 10 m, tout dépend de la nature de votre espace vert. Toutefois, il est très fortement conseillé de repérer les sites d’observation. Pour cela, plusieurs méthodes sont envisageables, au choix : </w:t>
      </w:r>
    </w:p>
    <w:p>
      <w:pPr>
        <w:pStyle w:val="Normal"/>
        <w:rPr/>
      </w:pPr>
      <w:r>
        <w:rPr>
          <w:b/>
          <w:i/>
          <w:u w:val="single"/>
        </w:rPr>
        <w:t>La localisation GPS</w:t>
      </w:r>
      <w:r>
        <w:rPr/>
        <w:t> : par l’intermédiaire d’un smartphone ou de google Map ;</w:t>
      </w:r>
    </w:p>
    <w:p>
      <w:pPr>
        <w:pStyle w:val="Normal"/>
        <w:rPr/>
      </w:pPr>
      <w:r>
        <w:rPr>
          <w:b/>
          <w:i/>
          <w:u w:val="single"/>
        </w:rPr>
        <w:t>Le repérage sur le terrain à l’aide d’une balise ou d’un repère simple</w:t>
      </w:r>
      <w:r>
        <w:rPr/>
        <w:t> : il est possible de mettre en place un repère matériel sur le terrain (piquet, panneau etc.) ou encore d’utiliser un repère existant (station pour une ligne de train ou de tramway, mobilier remarquable sur l’espace etc.).</w:t>
      </w:r>
    </w:p>
    <w:p>
      <w:pPr>
        <w:pStyle w:val="Normal"/>
        <w:rPr/>
      </w:pPr>
      <w:r>
        <w:rPr/>
        <w:t xml:space="preserve">Cet échantillonnage permet par la suite de représenter les données de manière spatiale </w:t>
      </w:r>
      <w:r>
        <w:rPr>
          <w:i/>
        </w:rPr>
        <w:t>via</w:t>
      </w:r>
      <w:r>
        <w:rPr/>
        <w:t xml:space="preserve"> la création de schémas et/ou cartes auxquels on ajoute les points relevés. Il est également possible d’entrer les données sur un Système d’Information Géographique (SIG). L’archivage de ces données sur un document cartographique permet également un suivi de la gestion effectuée.</w:t>
      </w:r>
    </w:p>
    <w:p>
      <w:pPr>
        <w:pStyle w:val="Normal"/>
        <w:spacing w:lineRule="auto" w:line="259" w:before="0" w:after="160"/>
        <w:jc w:val="left"/>
        <w:rPr/>
      </w:pPr>
      <w:r>
        <w:rPr/>
      </w:r>
      <w:r>
        <w:br w:type="page"/>
      </w:r>
    </w:p>
    <w:p>
      <w:pPr>
        <w:pStyle w:val="Titre2"/>
        <w:numPr>
          <w:ilvl w:val="1"/>
          <w:numId w:val="2"/>
        </w:numPr>
        <w:ind w:left="578" w:hanging="578"/>
        <w:rPr/>
      </w:pPr>
      <w:bookmarkStart w:id="6" w:name="_Toc33726968"/>
      <w:r>
        <w:rPr/>
        <w:t>La fiche de relevé</w:t>
      </w:r>
      <w:bookmarkEnd w:id="6"/>
      <w:r>
        <w:rPr/>
        <w:t xml:space="preserve"> </w:t>
      </w:r>
    </w:p>
    <w:p>
      <w:pPr>
        <w:pStyle w:val="Normal"/>
        <w:rPr>
          <w:color w:val="000000" w:themeColor="text1"/>
        </w:rPr>
      </w:pPr>
      <w:r>
        <w:rPr>
          <w:color w:val="000000" w:themeColor="text1"/>
        </w:rPr>
        <w:t xml:space="preserve">Avant d’effectuer les relevés de l’indicateur pour chaque habitat, on décrit les </w:t>
      </w:r>
      <w:r>
        <w:rPr>
          <w:b/>
          <w:color w:val="000000" w:themeColor="text1"/>
        </w:rPr>
        <w:t>repères</w:t>
      </w:r>
      <w:r>
        <w:rPr>
          <w:color w:val="000000" w:themeColor="text1"/>
        </w:rPr>
        <w:t xml:space="preserve"> permettant de dater et répertorier son utilisation mais également de renseigner sur la nature du site évalué. </w:t>
      </w:r>
    </w:p>
    <w:tbl>
      <w:tblPr>
        <w:tblStyle w:val="Grilledutableau"/>
        <w:tblW w:w="8216" w:type="dxa"/>
        <w:jc w:val="left"/>
        <w:tblInd w:w="0" w:type="dxa"/>
        <w:tblCellMar>
          <w:top w:w="0" w:type="dxa"/>
          <w:left w:w="108" w:type="dxa"/>
          <w:bottom w:w="0" w:type="dxa"/>
          <w:right w:w="108" w:type="dxa"/>
        </w:tblCellMar>
        <w:tblLook w:firstRow="1" w:noVBand="1" w:lastRow="0" w:firstColumn="1" w:lastColumn="0" w:noHBand="0" w:val="04a0"/>
      </w:tblPr>
      <w:tblGrid>
        <w:gridCol w:w="4108"/>
        <w:gridCol w:w="4107"/>
      </w:tblGrid>
      <w:tr>
        <w:trPr>
          <w:trHeight w:val="605" w:hRule="atLeast"/>
        </w:trPr>
        <w:tc>
          <w:tcPr>
            <w:tcW w:w="8215" w:type="dxa"/>
            <w:gridSpan w:val="2"/>
            <w:tcBorders/>
            <w:shd w:fill="auto" w:val="clear"/>
          </w:tcPr>
          <w:p>
            <w:pPr>
              <w:pStyle w:val="Normal"/>
              <w:spacing w:lineRule="auto" w:line="276" w:before="0" w:after="0"/>
              <w:jc w:val="center"/>
              <w:rPr>
                <w:color w:val="000000" w:themeColor="text1"/>
              </w:rPr>
            </w:pPr>
            <w:r>
              <w:rPr>
                <w:b/>
                <w:color w:val="000000" w:themeColor="text1"/>
                <w:sz w:val="24"/>
              </w:rPr>
              <w:t>Repères</w:t>
            </w:r>
          </w:p>
        </w:tc>
      </w:tr>
      <w:tr>
        <w:trPr>
          <w:trHeight w:val="919" w:hRule="atLeast"/>
        </w:trPr>
        <w:tc>
          <w:tcPr>
            <w:tcW w:w="4108" w:type="dxa"/>
            <w:tcBorders/>
            <w:shd w:fill="auto" w:val="clear"/>
          </w:tcPr>
          <w:p>
            <w:pPr>
              <w:pStyle w:val="Normal"/>
              <w:spacing w:lineRule="auto" w:line="276" w:before="0" w:after="0"/>
              <w:rPr>
                <w:color w:val="000000" w:themeColor="text1"/>
              </w:rPr>
            </w:pPr>
            <w:r>
              <w:rPr>
                <w:color w:val="000000" w:themeColor="text1"/>
              </w:rPr>
              <w:t>Nom du site ou numéro</w:t>
            </w:r>
          </w:p>
        </w:tc>
        <w:tc>
          <w:tcPr>
            <w:tcW w:w="4107" w:type="dxa"/>
            <w:tcBorders/>
            <w:shd w:fill="auto" w:val="clear"/>
          </w:tcPr>
          <w:p>
            <w:pPr>
              <w:pStyle w:val="Normal"/>
              <w:spacing w:lineRule="auto" w:line="276" w:before="0" w:after="0"/>
              <w:rPr>
                <w:color w:val="000000" w:themeColor="text1"/>
              </w:rPr>
            </w:pPr>
            <w:r>
              <w:rPr>
                <w:color w:val="000000" w:themeColor="text1"/>
              </w:rPr>
            </w:r>
          </w:p>
        </w:tc>
      </w:tr>
      <w:tr>
        <w:trPr>
          <w:trHeight w:val="689" w:hRule="atLeast"/>
        </w:trPr>
        <w:tc>
          <w:tcPr>
            <w:tcW w:w="4108" w:type="dxa"/>
            <w:tcBorders/>
            <w:shd w:fill="auto" w:val="clear"/>
          </w:tcPr>
          <w:p>
            <w:pPr>
              <w:pStyle w:val="Normal"/>
              <w:spacing w:lineRule="auto" w:line="276" w:before="0" w:after="0"/>
              <w:rPr>
                <w:color w:val="000000" w:themeColor="text1"/>
              </w:rPr>
            </w:pPr>
            <w:r>
              <w:rPr>
                <w:color w:val="000000" w:themeColor="text1"/>
              </w:rPr>
              <w:t>Surface totale (ou longueur du linéaire)</w:t>
            </w:r>
          </w:p>
        </w:tc>
        <w:tc>
          <w:tcPr>
            <w:tcW w:w="4107" w:type="dxa"/>
            <w:tcBorders/>
            <w:shd w:fill="auto" w:val="clear"/>
          </w:tcPr>
          <w:p>
            <w:pPr>
              <w:pStyle w:val="Normal"/>
              <w:spacing w:lineRule="auto" w:line="276" w:before="0" w:after="0"/>
              <w:rPr>
                <w:color w:val="000000" w:themeColor="text1"/>
              </w:rPr>
            </w:pPr>
            <w:r>
              <w:rPr>
                <w:color w:val="000000" w:themeColor="text1"/>
              </w:rPr>
            </w:r>
          </w:p>
        </w:tc>
      </w:tr>
      <w:tr>
        <w:trPr>
          <w:trHeight w:val="982" w:hRule="atLeast"/>
        </w:trPr>
        <w:tc>
          <w:tcPr>
            <w:tcW w:w="4108" w:type="dxa"/>
            <w:tcBorders/>
            <w:shd w:fill="auto" w:val="clear"/>
          </w:tcPr>
          <w:p>
            <w:pPr>
              <w:pStyle w:val="Normal"/>
              <w:spacing w:lineRule="auto" w:line="276" w:before="0" w:after="0"/>
              <w:rPr>
                <w:color w:val="000000" w:themeColor="text1"/>
              </w:rPr>
            </w:pPr>
            <w:r>
              <w:rPr>
                <w:color w:val="000000" w:themeColor="text1"/>
              </w:rPr>
              <w:t>Situation (localisation et si possible données GPS)</w:t>
            </w:r>
          </w:p>
        </w:tc>
        <w:tc>
          <w:tcPr>
            <w:tcW w:w="4107" w:type="dxa"/>
            <w:tcBorders/>
            <w:shd w:fill="auto" w:val="clear"/>
          </w:tcPr>
          <w:p>
            <w:pPr>
              <w:pStyle w:val="Normal"/>
              <w:spacing w:lineRule="auto" w:line="276" w:before="0" w:after="0"/>
              <w:rPr>
                <w:color w:val="000000" w:themeColor="text1"/>
              </w:rPr>
            </w:pPr>
            <w:r>
              <w:rPr>
                <w:color w:val="000000" w:themeColor="text1"/>
              </w:rPr>
            </w:r>
          </w:p>
        </w:tc>
      </w:tr>
      <w:tr>
        <w:trPr>
          <w:trHeight w:val="713" w:hRule="atLeast"/>
        </w:trPr>
        <w:tc>
          <w:tcPr>
            <w:tcW w:w="4108" w:type="dxa"/>
            <w:tcBorders/>
            <w:shd w:fill="auto" w:val="clear"/>
          </w:tcPr>
          <w:p>
            <w:pPr>
              <w:pStyle w:val="Normal"/>
              <w:spacing w:lineRule="auto" w:line="276" w:before="0" w:after="0"/>
              <w:rPr>
                <w:color w:val="000000" w:themeColor="text1"/>
              </w:rPr>
            </w:pPr>
            <w:r>
              <w:rPr>
                <w:color w:val="000000" w:themeColor="text1"/>
              </w:rPr>
              <w:t>Date et heure</w:t>
            </w:r>
          </w:p>
        </w:tc>
        <w:tc>
          <w:tcPr>
            <w:tcW w:w="4107" w:type="dxa"/>
            <w:tcBorders/>
            <w:shd w:fill="auto" w:val="clear"/>
          </w:tcPr>
          <w:p>
            <w:pPr>
              <w:pStyle w:val="Normal"/>
              <w:spacing w:lineRule="auto" w:line="276" w:before="0" w:after="0"/>
              <w:rPr>
                <w:color w:val="000000" w:themeColor="text1"/>
              </w:rPr>
            </w:pPr>
            <w:r>
              <w:rPr>
                <w:color w:val="000000" w:themeColor="text1"/>
              </w:rPr>
            </w:r>
          </w:p>
        </w:tc>
      </w:tr>
    </w:tbl>
    <w:p>
      <w:pPr>
        <w:pStyle w:val="Normal"/>
        <w:rPr>
          <w:color w:val="000000" w:themeColor="text1"/>
        </w:rPr>
      </w:pPr>
      <w:r>
        <w:rPr>
          <w:color w:val="000000" w:themeColor="text1"/>
        </w:rPr>
      </w:r>
    </w:p>
    <w:p>
      <w:pPr>
        <w:pStyle w:val="Normal"/>
        <w:rPr>
          <w:color w:val="000000" w:themeColor="text1"/>
        </w:rPr>
      </w:pPr>
      <w:r>
        <w:rPr>
          <w:color w:val="000000" w:themeColor="text1"/>
        </w:rPr>
      </w:r>
    </w:p>
    <w:p>
      <w:pPr>
        <w:pStyle w:val="Normal"/>
        <w:spacing w:lineRule="auto" w:line="259" w:before="0" w:after="160"/>
        <w:jc w:val="left"/>
        <w:rPr>
          <w:rFonts w:eastAsia="" w:cs="" w:cstheme="majorBidi" w:eastAsiaTheme="majorEastAsia"/>
          <w:b/>
          <w:b/>
          <w:sz w:val="28"/>
          <w:szCs w:val="24"/>
          <w:highlight w:val="lightGray"/>
        </w:rPr>
      </w:pPr>
      <w:r>
        <w:rPr>
          <w:rFonts w:eastAsia="" w:cs="" w:cstheme="majorBidi" w:eastAsiaTheme="majorEastAsia"/>
          <w:b/>
          <w:sz w:val="28"/>
          <w:szCs w:val="24"/>
          <w:highlight w:val="lightGray"/>
        </w:rPr>
      </w:r>
      <w:r>
        <w:br w:type="page"/>
      </w:r>
    </w:p>
    <w:p>
      <w:pPr>
        <w:pStyle w:val="Titre3"/>
        <w:numPr>
          <w:ilvl w:val="2"/>
          <w:numId w:val="2"/>
        </w:numPr>
        <w:rPr/>
      </w:pPr>
      <w:bookmarkStart w:id="7" w:name="_Toc33726969"/>
      <w:r>
        <w:rPr/>
        <w:t>La stratification</w:t>
      </w:r>
      <w:bookmarkEnd w:id="7"/>
    </w:p>
    <w:p>
      <w:pPr>
        <w:pStyle w:val="Normal"/>
        <w:rPr/>
      </w:pPr>
      <w:r>
        <w:rPr>
          <w:u w:val="single"/>
        </w:rPr>
        <w:t>Principe</w:t>
      </w:r>
      <w:r>
        <w:rPr/>
        <w:t xml:space="preserve"> : plus le paysage du site étudié est complexe et varié plus il est susceptible d’abriter de la biodiversité. </w:t>
      </w:r>
      <w:r>
        <w:rPr>
          <w:b/>
        </w:rPr>
        <w:t>La diversité des strates</w:t>
      </w:r>
      <w:r>
        <w:rPr/>
        <w:t xml:space="preserve"> (grands arbres, arbres moyens, arbustes, fourrés, strate herbacée etc.) détermine une diversité d’espèces végétales, d’habitats (donc des ressources) et d’abris pour la faune. Sachant que plus le milieu est complexe, plus la diversité taxonomique croit (insectes, oiseaux, arthropodes, papillons, mammifères dont chauves-souris et écureuils).</w:t>
      </w:r>
    </w:p>
    <w:p>
      <w:pPr>
        <w:pStyle w:val="Normal"/>
        <w:rPr>
          <w:color w:val="538135" w:themeColor="accent6" w:themeShade="bf"/>
        </w:rPr>
      </w:pPr>
      <w:r>
        <w:rPr/>
        <w:t>On distingue 4 strates : muscinale, herbacée, arbustive, arborée (Fig.1) :</w:t>
      </w:r>
    </w:p>
    <w:p>
      <w:pPr>
        <w:pStyle w:val="Normal"/>
        <w:rPr/>
      </w:pPr>
      <w:r>
        <w:rPr/>
        <w:drawing>
          <wp:inline distT="0" distB="0" distL="0" distR="0">
            <wp:extent cx="5419725" cy="3314065"/>
            <wp:effectExtent l="0" t="0" r="0" b="0"/>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5419725" cy="3314065"/>
                    </a:xfrm>
                    <a:prstGeom prst="rect">
                      <a:avLst/>
                    </a:prstGeom>
                  </pic:spPr>
                </pic:pic>
              </a:graphicData>
            </a:graphic>
          </wp:inline>
        </w:drawing>
      </w:r>
    </w:p>
    <w:p>
      <w:pPr>
        <w:pStyle w:val="Normal"/>
        <w:rPr/>
      </w:pPr>
      <w:r>
        <w:rPr/>
        <w:t xml:space="preserve">Figure 1 : Schéma représentant les différentes strates d’un boisement (source : </w:t>
      </w:r>
      <w:hyperlink r:id="rId4">
        <w:r>
          <w:rPr>
            <w:rStyle w:val="LienInternet"/>
          </w:rPr>
          <w:t>www.researchgate.net</w:t>
        </w:r>
      </w:hyperlink>
      <w:r>
        <w:rPr/>
        <w:t xml:space="preserve">) </w:t>
      </w:r>
    </w:p>
    <w:p>
      <w:pPr>
        <w:pStyle w:val="Normal"/>
        <w:rPr/>
      </w:pPr>
      <w:r>
        <w:rPr/>
        <w:t>Tableau d’évaluation de l’indice de la stratification :</w:t>
      </w:r>
    </w:p>
    <w:p>
      <w:pPr>
        <w:sectPr>
          <w:headerReference w:type="default" r:id="rId5"/>
          <w:footerReference w:type="default" r:id="rId6"/>
          <w:footerReference w:type="first" r:id="rId7"/>
          <w:type w:val="nextPage"/>
          <w:pgSz w:w="11906" w:h="16838"/>
          <w:pgMar w:left="1417" w:right="1417" w:header="708" w:top="1417" w:footer="708" w:bottom="1417" w:gutter="0"/>
          <w:pgNumType w:fmt="decimal"/>
          <w:formProt w:val="false"/>
          <w:titlePg/>
          <w:textDirection w:val="lrTb"/>
          <w:docGrid w:type="default" w:linePitch="360" w:charSpace="4096"/>
        </w:sectPr>
      </w:pPr>
    </w:p>
    <w:tbl>
      <w:tblPr>
        <w:tblStyle w:val="Grilledutableau"/>
        <w:tblW w:w="5802" w:type="dxa"/>
        <w:jc w:val="left"/>
        <w:tblInd w:w="0" w:type="dxa"/>
        <w:tblCellMar>
          <w:top w:w="0" w:type="dxa"/>
          <w:left w:w="108" w:type="dxa"/>
          <w:bottom w:w="0" w:type="dxa"/>
          <w:right w:w="108" w:type="dxa"/>
        </w:tblCellMar>
        <w:tblLook w:firstRow="1" w:noVBand="1" w:lastRow="0" w:firstColumn="1" w:lastColumn="0" w:noHBand="0" w:val="04a0"/>
      </w:tblPr>
      <w:tblGrid>
        <w:gridCol w:w="3255"/>
        <w:gridCol w:w="2546"/>
      </w:tblGrid>
      <w:tr>
        <w:trPr/>
        <w:tc>
          <w:tcPr>
            <w:tcW w:w="3255" w:type="dxa"/>
            <w:tcBorders/>
            <w:shd w:fill="auto" w:val="clear"/>
          </w:tcPr>
          <w:p>
            <w:pPr>
              <w:pStyle w:val="Normal"/>
              <w:spacing w:lineRule="auto" w:line="240" w:before="0" w:after="0"/>
              <w:rPr>
                <w:b/>
                <w:b/>
              </w:rPr>
            </w:pPr>
            <w:r>
              <w:rPr>
                <w:b/>
              </w:rPr>
              <w:t>Nombre de strates</w:t>
            </w:r>
          </w:p>
        </w:tc>
        <w:tc>
          <w:tcPr>
            <w:tcW w:w="2546" w:type="dxa"/>
            <w:tcBorders/>
            <w:shd w:fill="auto" w:val="clear"/>
          </w:tcPr>
          <w:p>
            <w:pPr>
              <w:pStyle w:val="Normal"/>
              <w:spacing w:lineRule="auto" w:line="240" w:before="0" w:after="0"/>
              <w:rPr>
                <w:b/>
                <w:b/>
              </w:rPr>
            </w:pPr>
            <w:r>
              <w:rPr>
                <w:b/>
                <w:color w:val="FF0000"/>
              </w:rPr>
              <w:t>Score</w:t>
            </w:r>
          </w:p>
        </w:tc>
      </w:tr>
      <w:tr>
        <w:trPr/>
        <w:tc>
          <w:tcPr>
            <w:tcW w:w="3255" w:type="dxa"/>
            <w:tcBorders/>
            <w:shd w:fill="auto" w:val="clear"/>
          </w:tcPr>
          <w:p>
            <w:pPr>
              <w:pStyle w:val="Normal"/>
              <w:spacing w:lineRule="auto" w:line="240" w:before="0" w:after="0"/>
              <w:rPr/>
            </w:pPr>
            <w:r>
              <w:rPr/>
              <w:t>Sol nu artificiel (bitume, béton …)</w:t>
            </w:r>
          </w:p>
        </w:tc>
        <w:tc>
          <w:tcPr>
            <w:tcW w:w="2546" w:type="dxa"/>
            <w:tcBorders/>
            <w:shd w:fill="auto" w:val="clear"/>
          </w:tcPr>
          <w:p>
            <w:pPr>
              <w:pStyle w:val="Normal"/>
              <w:spacing w:lineRule="auto" w:line="240" w:before="0" w:after="0"/>
              <w:rPr/>
            </w:pPr>
            <w:r>
              <w:rPr/>
              <w:t>0</w:t>
            </w:r>
          </w:p>
        </w:tc>
      </w:tr>
      <w:tr>
        <w:trPr/>
        <w:tc>
          <w:tcPr>
            <w:tcW w:w="3255" w:type="dxa"/>
            <w:tcBorders/>
            <w:shd w:fill="auto" w:val="clear"/>
          </w:tcPr>
          <w:p>
            <w:pPr>
              <w:pStyle w:val="Normal"/>
              <w:spacing w:lineRule="auto" w:line="240" w:before="0" w:after="0"/>
              <w:rPr/>
            </w:pPr>
            <w:r>
              <w:rPr/>
              <w:t>Sol nu sans végétation</w:t>
            </w:r>
          </w:p>
        </w:tc>
        <w:tc>
          <w:tcPr>
            <w:tcW w:w="2546" w:type="dxa"/>
            <w:tcBorders/>
            <w:shd w:fill="auto" w:val="clear"/>
          </w:tcPr>
          <w:p>
            <w:pPr>
              <w:pStyle w:val="Normal"/>
              <w:spacing w:lineRule="auto" w:line="240" w:before="0" w:after="0"/>
              <w:rPr/>
            </w:pPr>
            <w:r>
              <w:rPr/>
              <w:t>1</w:t>
            </w:r>
          </w:p>
        </w:tc>
      </w:tr>
      <w:tr>
        <w:trPr/>
        <w:tc>
          <w:tcPr>
            <w:tcW w:w="3255" w:type="dxa"/>
            <w:tcBorders/>
            <w:shd w:fill="auto" w:val="clear"/>
          </w:tcPr>
          <w:p>
            <w:pPr>
              <w:pStyle w:val="Normal"/>
              <w:spacing w:lineRule="auto" w:line="240" w:before="0" w:after="0"/>
              <w:rPr/>
            </w:pPr>
            <w:r>
              <w:rPr/>
              <w:t>1 strate</w:t>
            </w:r>
          </w:p>
        </w:tc>
        <w:tc>
          <w:tcPr>
            <w:tcW w:w="2546" w:type="dxa"/>
            <w:tcBorders/>
            <w:shd w:fill="auto" w:val="clear"/>
          </w:tcPr>
          <w:p>
            <w:pPr>
              <w:pStyle w:val="Normal"/>
              <w:spacing w:lineRule="auto" w:line="240" w:before="0" w:after="0"/>
              <w:rPr/>
            </w:pPr>
            <w:r>
              <w:rPr/>
              <w:t>2</w:t>
            </w:r>
          </w:p>
        </w:tc>
      </w:tr>
      <w:tr>
        <w:trPr/>
        <w:tc>
          <w:tcPr>
            <w:tcW w:w="3255" w:type="dxa"/>
            <w:tcBorders/>
            <w:shd w:fill="auto" w:val="clear"/>
          </w:tcPr>
          <w:p>
            <w:pPr>
              <w:pStyle w:val="Normal"/>
              <w:spacing w:lineRule="auto" w:line="240" w:before="0" w:after="0"/>
              <w:rPr/>
            </w:pPr>
            <w:r>
              <w:rPr/>
              <w:t>2 strates</w:t>
            </w:r>
          </w:p>
        </w:tc>
        <w:tc>
          <w:tcPr>
            <w:tcW w:w="2546" w:type="dxa"/>
            <w:tcBorders/>
            <w:shd w:fill="auto" w:val="clear"/>
          </w:tcPr>
          <w:p>
            <w:pPr>
              <w:pStyle w:val="Normal"/>
              <w:spacing w:lineRule="auto" w:line="240" w:before="0" w:after="0"/>
              <w:rPr/>
            </w:pPr>
            <w:r>
              <w:rPr/>
              <w:t>3</w:t>
            </w:r>
          </w:p>
        </w:tc>
      </w:tr>
      <w:tr>
        <w:trPr/>
        <w:tc>
          <w:tcPr>
            <w:tcW w:w="3255" w:type="dxa"/>
            <w:tcBorders/>
            <w:shd w:fill="auto" w:val="clear"/>
          </w:tcPr>
          <w:p>
            <w:pPr>
              <w:pStyle w:val="Normal"/>
              <w:spacing w:lineRule="auto" w:line="240" w:before="0" w:after="0"/>
              <w:rPr/>
            </w:pPr>
            <w:r>
              <w:rPr/>
              <w:t xml:space="preserve"> </w:t>
            </w:r>
            <w:r>
              <w:rPr/>
              <w:t>3 strates</w:t>
            </w:r>
          </w:p>
        </w:tc>
        <w:tc>
          <w:tcPr>
            <w:tcW w:w="2546" w:type="dxa"/>
            <w:tcBorders/>
            <w:shd w:fill="auto" w:val="clear"/>
          </w:tcPr>
          <w:p>
            <w:pPr>
              <w:pStyle w:val="Normal"/>
              <w:spacing w:lineRule="auto" w:line="240" w:before="0" w:after="0"/>
              <w:rPr/>
            </w:pPr>
            <w:r>
              <w:rPr/>
              <w:t>4</w:t>
            </w:r>
          </w:p>
        </w:tc>
      </w:tr>
      <w:tr>
        <w:trPr/>
        <w:tc>
          <w:tcPr>
            <w:tcW w:w="3255" w:type="dxa"/>
            <w:tcBorders/>
            <w:shd w:fill="auto" w:val="clear"/>
          </w:tcPr>
          <w:p>
            <w:pPr>
              <w:pStyle w:val="Normal"/>
              <w:spacing w:lineRule="auto" w:line="240" w:before="0" w:after="0"/>
              <w:ind w:left="360" w:hanging="0"/>
              <w:rPr/>
            </w:pPr>
            <w:r>
              <w:rPr/>
              <w:t>&gt; 4 strates</w:t>
            </w:r>
          </w:p>
        </w:tc>
        <w:tc>
          <w:tcPr>
            <w:tcW w:w="2546" w:type="dxa"/>
            <w:tcBorders/>
            <w:shd w:fill="auto" w:val="clear"/>
          </w:tcPr>
          <w:p>
            <w:pPr>
              <w:pStyle w:val="Normal"/>
              <w:spacing w:lineRule="auto" w:line="240" w:before="0" w:after="0"/>
              <w:rPr/>
            </w:pPr>
            <w:r>
              <w:rPr/>
              <w:t>5</w:t>
            </w:r>
          </w:p>
        </w:tc>
      </w:tr>
    </w:tbl>
    <w:p>
      <w:pPr>
        <w:pStyle w:val="Normal"/>
        <w:rPr/>
      </w:pPr>
      <w:r>
        <w:rPr/>
      </w:r>
    </w:p>
    <w:p>
      <w:pPr>
        <w:pStyle w:val="Normal"/>
        <w:rPr/>
      </w:pPr>
      <w:r>
        <w:rPr/>
        <w:t>Score du site =</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sectPr>
          <w:type w:val="continuous"/>
          <w:pgSz w:w="11906" w:h="16838"/>
          <w:pgMar w:left="1417" w:right="1417" w:header="708" w:top="1417" w:footer="708" w:bottom="1417" w:gutter="0"/>
          <w:cols w:num="2" w:equalWidth="false" w:sep="false">
            <w:col w:w="5811" w:space="708"/>
            <w:col w:w="2552"/>
          </w:cols>
          <w:formProt w:val="false"/>
          <w:textDirection w:val="lrTb"/>
          <w:docGrid w:type="default" w:linePitch="360" w:charSpace="4096"/>
        </w:sectPr>
      </w:pPr>
    </w:p>
    <w:p>
      <w:pPr>
        <w:pStyle w:val="Titre3"/>
        <w:numPr>
          <w:ilvl w:val="2"/>
          <w:numId w:val="2"/>
        </w:numPr>
        <w:rPr/>
      </w:pPr>
      <w:bookmarkStart w:id="8" w:name="_Toc33726970"/>
      <w:r>
        <w:rPr/>
        <w:t>La richesse en espèces ligneuses</w:t>
      </w:r>
      <w:bookmarkEnd w:id="8"/>
    </w:p>
    <w:p>
      <w:pPr>
        <w:pStyle w:val="Normal"/>
        <w:rPr/>
      </w:pPr>
      <w:r>
        <w:rPr/>
        <w:t xml:space="preserve">Les ligneux sont les végétaux possédant une tige constituée de bois. Ce sont essentiellement les arbres, les arbustes, les arbrisseaux et les lianes. Plus les espèces sont variées, plus la biodiversité est importante. Cette diversité favorise également le nombre d’habitats, de refuges (nids), de ressources (fleurs, fruits, bois etc.). </w:t>
      </w:r>
    </w:p>
    <w:p>
      <w:pPr>
        <w:sectPr>
          <w:type w:val="continuous"/>
          <w:pgSz w:w="11906" w:h="16838"/>
          <w:pgMar w:left="1417" w:right="1417" w:header="708" w:top="1417" w:footer="708" w:bottom="1417" w:gutter="0"/>
          <w:formProt w:val="false"/>
          <w:textDirection w:val="lrTb"/>
          <w:docGrid w:type="default" w:linePitch="360" w:charSpace="4096"/>
        </w:sectPr>
      </w:pPr>
    </w:p>
    <w:p>
      <w:pPr>
        <w:pStyle w:val="Normal"/>
        <w:rPr/>
      </w:pPr>
      <w:r>
        <w:rPr/>
      </w:r>
    </w:p>
    <w:tbl>
      <w:tblPr>
        <w:tblStyle w:val="Grilledutableau"/>
        <w:tblW w:w="5524" w:type="dxa"/>
        <w:jc w:val="left"/>
        <w:tblInd w:w="0" w:type="dxa"/>
        <w:tblCellMar>
          <w:top w:w="0" w:type="dxa"/>
          <w:left w:w="108" w:type="dxa"/>
          <w:bottom w:w="0" w:type="dxa"/>
          <w:right w:w="108" w:type="dxa"/>
        </w:tblCellMar>
        <w:tblLook w:firstRow="1" w:noVBand="1" w:lastRow="0" w:firstColumn="1" w:lastColumn="0" w:noHBand="0" w:val="04a0"/>
      </w:tblPr>
      <w:tblGrid>
        <w:gridCol w:w="4534"/>
        <w:gridCol w:w="989"/>
      </w:tblGrid>
      <w:tr>
        <w:trPr/>
        <w:tc>
          <w:tcPr>
            <w:tcW w:w="4534" w:type="dxa"/>
            <w:tcBorders/>
            <w:shd w:fill="auto" w:val="clear"/>
          </w:tcPr>
          <w:p>
            <w:pPr>
              <w:pStyle w:val="Normal"/>
              <w:spacing w:lineRule="auto" w:line="240" w:before="0" w:after="0"/>
              <w:rPr>
                <w:b/>
                <w:b/>
              </w:rPr>
            </w:pPr>
            <w:r>
              <w:rPr>
                <w:b/>
              </w:rPr>
              <w:t>Nombre d’espèces de ligneux*</w:t>
            </w:r>
          </w:p>
        </w:tc>
        <w:tc>
          <w:tcPr>
            <w:tcW w:w="989" w:type="dxa"/>
            <w:tcBorders/>
            <w:shd w:fill="auto" w:val="clear"/>
          </w:tcPr>
          <w:p>
            <w:pPr>
              <w:pStyle w:val="Normal"/>
              <w:spacing w:lineRule="auto" w:line="240" w:before="0" w:after="0"/>
              <w:rPr>
                <w:b/>
                <w:b/>
              </w:rPr>
            </w:pPr>
            <w:r>
              <w:rPr>
                <w:b/>
                <w:color w:val="FF0000"/>
              </w:rPr>
              <w:t>Score</w:t>
            </w:r>
          </w:p>
        </w:tc>
      </w:tr>
      <w:tr>
        <w:trPr/>
        <w:tc>
          <w:tcPr>
            <w:tcW w:w="4534" w:type="dxa"/>
            <w:tcBorders/>
            <w:shd w:fill="auto" w:val="clear"/>
          </w:tcPr>
          <w:p>
            <w:pPr>
              <w:pStyle w:val="Normal"/>
              <w:spacing w:lineRule="auto" w:line="240" w:before="0" w:after="0"/>
              <w:rPr/>
            </w:pPr>
            <w:r>
              <w:rPr/>
              <w:t>0</w:t>
            </w:r>
          </w:p>
        </w:tc>
        <w:tc>
          <w:tcPr>
            <w:tcW w:w="989" w:type="dxa"/>
            <w:tcBorders/>
            <w:shd w:fill="auto" w:val="clear"/>
          </w:tcPr>
          <w:p>
            <w:pPr>
              <w:pStyle w:val="Normal"/>
              <w:spacing w:lineRule="auto" w:line="240" w:before="0" w:after="0"/>
              <w:rPr/>
            </w:pPr>
            <w:r>
              <w:rPr/>
              <w:t>0</w:t>
            </w:r>
          </w:p>
        </w:tc>
      </w:tr>
      <w:tr>
        <w:trPr/>
        <w:tc>
          <w:tcPr>
            <w:tcW w:w="4534" w:type="dxa"/>
            <w:tcBorders/>
            <w:shd w:fill="auto" w:val="clear"/>
          </w:tcPr>
          <w:p>
            <w:pPr>
              <w:pStyle w:val="Normal"/>
              <w:spacing w:lineRule="auto" w:line="240" w:before="0" w:after="0"/>
              <w:rPr/>
            </w:pPr>
            <w:r>
              <w:rPr/>
              <w:t>1</w:t>
            </w:r>
          </w:p>
        </w:tc>
        <w:tc>
          <w:tcPr>
            <w:tcW w:w="989" w:type="dxa"/>
            <w:tcBorders/>
            <w:shd w:fill="auto" w:val="clear"/>
          </w:tcPr>
          <w:p>
            <w:pPr>
              <w:pStyle w:val="Normal"/>
              <w:spacing w:lineRule="auto" w:line="240" w:before="0" w:after="0"/>
              <w:rPr/>
            </w:pPr>
            <w:r>
              <w:rPr/>
              <w:t>1</w:t>
            </w:r>
          </w:p>
        </w:tc>
      </w:tr>
      <w:tr>
        <w:trPr/>
        <w:tc>
          <w:tcPr>
            <w:tcW w:w="4534" w:type="dxa"/>
            <w:tcBorders/>
            <w:shd w:fill="auto" w:val="clear"/>
          </w:tcPr>
          <w:p>
            <w:pPr>
              <w:pStyle w:val="Normal"/>
              <w:spacing w:lineRule="auto" w:line="240" w:before="0" w:after="0"/>
              <w:rPr/>
            </w:pPr>
            <w:r>
              <w:rPr/>
              <w:t>2</w:t>
            </w:r>
          </w:p>
        </w:tc>
        <w:tc>
          <w:tcPr>
            <w:tcW w:w="989" w:type="dxa"/>
            <w:tcBorders/>
            <w:shd w:fill="auto" w:val="clear"/>
          </w:tcPr>
          <w:p>
            <w:pPr>
              <w:pStyle w:val="Normal"/>
              <w:spacing w:lineRule="auto" w:line="240" w:before="0" w:after="0"/>
              <w:rPr/>
            </w:pPr>
            <w:r>
              <w:rPr/>
              <w:t>2</w:t>
            </w:r>
          </w:p>
        </w:tc>
      </w:tr>
      <w:tr>
        <w:trPr/>
        <w:tc>
          <w:tcPr>
            <w:tcW w:w="4534" w:type="dxa"/>
            <w:tcBorders/>
            <w:shd w:fill="auto" w:val="clear"/>
          </w:tcPr>
          <w:p>
            <w:pPr>
              <w:pStyle w:val="Normal"/>
              <w:spacing w:lineRule="auto" w:line="240" w:before="0" w:after="0"/>
              <w:rPr/>
            </w:pPr>
            <w:r>
              <w:rPr/>
              <w:t>3</w:t>
            </w:r>
          </w:p>
        </w:tc>
        <w:tc>
          <w:tcPr>
            <w:tcW w:w="989" w:type="dxa"/>
            <w:tcBorders/>
            <w:shd w:fill="auto" w:val="clear"/>
          </w:tcPr>
          <w:p>
            <w:pPr>
              <w:pStyle w:val="Normal"/>
              <w:spacing w:lineRule="auto" w:line="240" w:before="0" w:after="0"/>
              <w:rPr/>
            </w:pPr>
            <w:r>
              <w:rPr/>
              <w:t>3</w:t>
            </w:r>
          </w:p>
        </w:tc>
      </w:tr>
      <w:tr>
        <w:trPr/>
        <w:tc>
          <w:tcPr>
            <w:tcW w:w="4534" w:type="dxa"/>
            <w:tcBorders/>
            <w:shd w:fill="auto" w:val="clear"/>
          </w:tcPr>
          <w:p>
            <w:pPr>
              <w:pStyle w:val="Normal"/>
              <w:spacing w:lineRule="auto" w:line="240" w:before="0" w:after="0"/>
              <w:rPr/>
            </w:pPr>
            <w:r>
              <w:rPr>
                <w:u w:val="single"/>
              </w:rPr>
              <w:t>&gt;</w:t>
            </w:r>
            <w:r>
              <w:rPr/>
              <w:t xml:space="preserve"> 4</w:t>
            </w:r>
          </w:p>
        </w:tc>
        <w:tc>
          <w:tcPr>
            <w:tcW w:w="989" w:type="dxa"/>
            <w:tcBorders/>
            <w:shd w:fill="auto" w:val="clear"/>
          </w:tcPr>
          <w:p>
            <w:pPr>
              <w:pStyle w:val="Normal"/>
              <w:spacing w:lineRule="auto" w:line="240" w:before="0" w:after="0"/>
              <w:rPr/>
            </w:pPr>
            <w:r>
              <w:rPr/>
              <w:t>5</w:t>
            </w:r>
          </w:p>
        </w:tc>
      </w:tr>
    </w:tbl>
    <w:p>
      <w:pPr>
        <w:pStyle w:val="Normal"/>
        <w:rPr>
          <w:color w:val="538135" w:themeColor="accent6" w:themeShade="bf"/>
        </w:rPr>
      </w:pPr>
      <w:r>
        <w:rPr>
          <w:color w:val="538135" w:themeColor="accent6" w:themeShade="bf"/>
        </w:rPr>
      </w:r>
    </w:p>
    <w:p>
      <w:pPr>
        <w:pStyle w:val="Normal"/>
        <w:rPr>
          <w:color w:val="538135" w:themeColor="accent6" w:themeShade="bf"/>
        </w:rPr>
      </w:pPr>
      <w:r>
        <w:rPr>
          <w:color w:val="538135" w:themeColor="accent6" w:themeShade="bf"/>
        </w:rPr>
      </w:r>
    </w:p>
    <w:p>
      <w:pPr>
        <w:pStyle w:val="Normal"/>
        <w:rPr>
          <w:color w:val="538135" w:themeColor="accent6" w:themeShade="bf"/>
        </w:rPr>
      </w:pPr>
      <w:r>
        <w:rPr>
          <w:color w:val="538135" w:themeColor="accent6" w:themeShade="bf"/>
        </w:rPr>
      </w:r>
    </w:p>
    <w:p>
      <w:pPr>
        <w:pStyle w:val="Normal"/>
        <w:rPr>
          <w:color w:val="538135" w:themeColor="accent6" w:themeShade="bf"/>
        </w:rPr>
      </w:pPr>
      <w:r>
        <w:rPr>
          <w:color w:val="538135" w:themeColor="accent6" w:themeShade="bf"/>
        </w:rPr>
      </w:r>
    </w:p>
    <w:p>
      <w:pPr>
        <w:pStyle w:val="Normal"/>
        <w:rPr>
          <w:color w:val="538135" w:themeColor="accent6" w:themeShade="bf"/>
        </w:rPr>
      </w:pPr>
      <w:r>
        <w:rPr>
          <w:color w:val="538135" w:themeColor="accent6" w:themeShade="bf"/>
        </w:rPr>
      </w:r>
    </w:p>
    <w:p>
      <w:pPr>
        <w:pStyle w:val="Normal"/>
        <w:rPr>
          <w:color w:val="538135" w:themeColor="accent6" w:themeShade="bf"/>
        </w:rPr>
      </w:pPr>
      <w:r>
        <w:rPr>
          <w:color w:val="538135" w:themeColor="accent6" w:themeShade="bf"/>
        </w:rPr>
      </w:r>
    </w:p>
    <w:p>
      <w:pPr>
        <w:pStyle w:val="Normal"/>
        <w:rPr/>
      </w:pPr>
      <w:r>
        <w:rPr/>
        <w:t xml:space="preserve">Score du site : </w:t>
      </w:r>
    </w:p>
    <w:p>
      <w:pPr>
        <w:sectPr>
          <w:type w:val="continuous"/>
          <w:pgSz w:w="11906" w:h="16838"/>
          <w:pgMar w:left="1417" w:right="1417" w:header="708" w:top="1417" w:footer="708" w:bottom="1417" w:gutter="0"/>
          <w:cols w:num="2" w:equalWidth="false" w:sep="false">
            <w:col w:w="5811" w:space="708"/>
            <w:col w:w="2552"/>
          </w:cols>
          <w:formProt w:val="false"/>
          <w:textDirection w:val="lrTb"/>
          <w:docGrid w:type="default" w:linePitch="360" w:charSpace="4096"/>
        </w:sectPr>
      </w:pPr>
    </w:p>
    <w:p>
      <w:pPr>
        <w:pStyle w:val="Normal"/>
        <w:rPr/>
      </w:pPr>
      <w:r>
        <w:rPr/>
        <w:t>*Il est question ici du nombre d’espèces différentes sur la zone (chêne, cyprès, cornouiller, autres.) et non du nombre d’individus par espèces. Sans grande connaissance des arbres, la distinction sur le terrain peut se faire simplement à l’aide de critères comme l’aspect des troncs et des tiges (rugueuses, lisses, couleurs variées) et au printemps en fonction des formes des feuilles.</w:t>
      </w:r>
    </w:p>
    <w:p>
      <w:pPr>
        <w:pStyle w:val="Normal"/>
        <w:spacing w:lineRule="auto" w:line="259" w:before="0" w:after="160"/>
        <w:jc w:val="left"/>
        <w:rPr/>
      </w:pPr>
      <w:r>
        <w:rPr/>
      </w:r>
      <w:r>
        <w:br w:type="page"/>
      </w:r>
    </w:p>
    <w:p>
      <w:pPr>
        <w:pStyle w:val="Titre3"/>
        <w:numPr>
          <w:ilvl w:val="2"/>
          <w:numId w:val="2"/>
        </w:numPr>
        <w:rPr/>
      </w:pPr>
      <w:bookmarkStart w:id="9" w:name="_Toc33726971"/>
      <w:r>
        <w:rPr/>
        <w:t>Arbres porteurs de micro-habitats</w:t>
      </w:r>
      <w:bookmarkEnd w:id="9"/>
    </w:p>
    <w:p>
      <w:pPr>
        <w:pStyle w:val="Normal"/>
        <w:rPr/>
      </w:pPr>
      <w:r>
        <w:rPr/>
        <w:t xml:space="preserve">Il existe plusieurs types de micro-habitats : </w:t>
      </w:r>
    </w:p>
    <w:p>
      <w:pPr>
        <w:pStyle w:val="Puces"/>
        <w:numPr>
          <w:ilvl w:val="6"/>
          <w:numId w:val="3"/>
        </w:numPr>
        <w:ind w:left="284" w:hanging="284"/>
        <w:rPr/>
      </w:pPr>
      <w:r>
        <w:rPr>
          <w:b/>
        </w:rPr>
        <w:t>Les plantes</w:t>
      </w:r>
      <w:r>
        <w:rPr/>
        <w:t xml:space="preserve"> de types lianes (lierre, parfois le gui), mousses, lichens ou champignons ; </w:t>
      </w:r>
    </w:p>
    <w:p>
      <w:pPr>
        <w:pStyle w:val="Puces"/>
        <w:numPr>
          <w:ilvl w:val="6"/>
          <w:numId w:val="3"/>
        </w:numPr>
        <w:ind w:left="284" w:hanging="284"/>
        <w:rPr/>
      </w:pPr>
      <w:r>
        <w:rPr>
          <w:b/>
        </w:rPr>
        <w:t>Les cavités</w:t>
      </w:r>
      <w:r>
        <w:rPr/>
        <w:t xml:space="preserve"> de diamètres variables présentes dans les troncs, les parties du bois non pourries sans écorces, les fentes et écorces décollées, les coulées de sève, le bois mort dans l’arbre. </w:t>
      </w:r>
    </w:p>
    <w:p>
      <w:pPr>
        <w:pStyle w:val="Normal"/>
        <w:rPr/>
      </w:pPr>
      <w:r>
        <w:rPr/>
        <w:t xml:space="preserve">Ces micro-habitats favorisent la nutrition, la reproduction, la nidification ainsi que la création d’abris pour insectes, oiseaux, chiroptères (chauves-souris), mammifères (écureuils, loir, martre, hérisson, etc.). Ces micro-habitats favorisent la biodiversité. </w:t>
      </w:r>
    </w:p>
    <w:p>
      <w:pPr>
        <w:pStyle w:val="Normal"/>
        <w:rPr/>
      </w:pPr>
      <w:r>
        <w:rPr/>
        <w:t>On détermine la surface étudiée autour de soi, à l’intérieur du site étudié, en comptabilisant le nombre d’arbres concernés : plus le nombre d’arbres concernés par des micro-habitats est important, plus la biodiversité potentielle est importante. De ce fait, on a seulement trois scores possibles : 0, 2, 5</w:t>
      </w:r>
    </w:p>
    <w:p>
      <w:pPr>
        <w:pStyle w:val="Normal"/>
        <w:rPr/>
      </w:pPr>
      <w:r>
        <w:rPr/>
      </w:r>
    </w:p>
    <w:tbl>
      <w:tblPr>
        <w:tblStyle w:val="Grilledutableau"/>
        <w:tblW w:w="9061" w:type="dxa"/>
        <w:jc w:val="left"/>
        <w:tblInd w:w="0" w:type="dxa"/>
        <w:tblCellMar>
          <w:top w:w="0" w:type="dxa"/>
          <w:left w:w="108" w:type="dxa"/>
          <w:bottom w:w="0" w:type="dxa"/>
          <w:right w:w="108" w:type="dxa"/>
        </w:tblCellMar>
        <w:tblLook w:firstRow="1" w:noVBand="1" w:lastRow="0" w:firstColumn="1" w:lastColumn="0" w:noHBand="0" w:val="04a0"/>
      </w:tblPr>
      <w:tblGrid>
        <w:gridCol w:w="2269"/>
        <w:gridCol w:w="2264"/>
        <w:gridCol w:w="2263"/>
        <w:gridCol w:w="2264"/>
      </w:tblGrid>
      <w:tr>
        <w:trPr/>
        <w:tc>
          <w:tcPr>
            <w:tcW w:w="2269" w:type="dxa"/>
            <w:tcBorders/>
            <w:shd w:fill="auto" w:val="clear"/>
          </w:tcPr>
          <w:p>
            <w:pPr>
              <w:pStyle w:val="Normal"/>
              <w:spacing w:lineRule="auto" w:line="240" w:before="0" w:after="0"/>
              <w:rPr>
                <w:b/>
                <w:b/>
              </w:rPr>
            </w:pPr>
            <w:r>
              <w:rPr>
                <w:b/>
              </w:rPr>
              <w:t>Surface étudiée</w:t>
            </w:r>
          </w:p>
        </w:tc>
        <w:tc>
          <w:tcPr>
            <w:tcW w:w="2264" w:type="dxa"/>
            <w:tcBorders/>
            <w:shd w:fill="auto" w:val="clear"/>
          </w:tcPr>
          <w:p>
            <w:pPr>
              <w:pStyle w:val="Normal"/>
              <w:spacing w:lineRule="auto" w:line="240" w:before="0" w:after="0"/>
              <w:rPr>
                <w:b/>
                <w:b/>
              </w:rPr>
            </w:pPr>
            <w:r>
              <w:rPr>
                <w:b/>
                <w:color w:val="FF0000"/>
              </w:rPr>
              <w:t>Score = 0</w:t>
            </w:r>
          </w:p>
        </w:tc>
        <w:tc>
          <w:tcPr>
            <w:tcW w:w="2263" w:type="dxa"/>
            <w:tcBorders/>
            <w:shd w:fill="auto" w:val="clear"/>
          </w:tcPr>
          <w:p>
            <w:pPr>
              <w:pStyle w:val="Normal"/>
              <w:spacing w:lineRule="auto" w:line="240" w:before="0" w:after="0"/>
              <w:rPr>
                <w:b/>
                <w:b/>
              </w:rPr>
            </w:pPr>
            <w:r>
              <w:rPr>
                <w:b/>
                <w:color w:val="FF0000"/>
              </w:rPr>
              <w:t>Score = 2</w:t>
            </w:r>
          </w:p>
        </w:tc>
        <w:tc>
          <w:tcPr>
            <w:tcW w:w="2264" w:type="dxa"/>
            <w:tcBorders/>
            <w:shd w:fill="auto" w:val="clear"/>
          </w:tcPr>
          <w:p>
            <w:pPr>
              <w:pStyle w:val="Normal"/>
              <w:spacing w:lineRule="auto" w:line="240" w:before="0" w:after="0"/>
              <w:rPr>
                <w:b/>
                <w:b/>
              </w:rPr>
            </w:pPr>
            <w:r>
              <w:rPr>
                <w:b/>
                <w:color w:val="FF0000"/>
              </w:rPr>
              <w:t>Score = 5</w:t>
            </w:r>
          </w:p>
        </w:tc>
      </w:tr>
      <w:tr>
        <w:trPr/>
        <w:tc>
          <w:tcPr>
            <w:tcW w:w="2269" w:type="dxa"/>
            <w:tcBorders/>
            <w:shd w:fill="auto" w:val="clear"/>
          </w:tcPr>
          <w:p>
            <w:pPr>
              <w:pStyle w:val="Normal"/>
              <w:spacing w:lineRule="auto" w:line="240" w:before="0" w:after="0"/>
              <w:rPr/>
            </w:pPr>
            <w:r>
              <w:rPr>
                <w:u w:val="single"/>
              </w:rPr>
              <w:t>&lt;</w:t>
            </w:r>
            <w:r>
              <w:rPr/>
              <w:t xml:space="preserve"> 1000 m²</w:t>
            </w:r>
          </w:p>
        </w:tc>
        <w:tc>
          <w:tcPr>
            <w:tcW w:w="2264" w:type="dxa"/>
            <w:tcBorders/>
            <w:shd w:fill="auto" w:val="clear"/>
          </w:tcPr>
          <w:p>
            <w:pPr>
              <w:pStyle w:val="Normal"/>
              <w:spacing w:lineRule="auto" w:line="240" w:before="0" w:after="0"/>
              <w:rPr/>
            </w:pPr>
            <w:r>
              <w:rPr/>
              <w:t>0 arbre</w:t>
            </w:r>
          </w:p>
        </w:tc>
        <w:tc>
          <w:tcPr>
            <w:tcW w:w="2263" w:type="dxa"/>
            <w:tcBorders/>
            <w:shd w:fill="auto" w:val="clear"/>
          </w:tcPr>
          <w:p>
            <w:pPr>
              <w:pStyle w:val="Normal"/>
              <w:spacing w:lineRule="auto" w:line="240" w:before="0" w:after="0"/>
              <w:rPr/>
            </w:pPr>
            <w:r>
              <w:rPr/>
              <w:t>1 arbre</w:t>
            </w:r>
          </w:p>
        </w:tc>
        <w:tc>
          <w:tcPr>
            <w:tcW w:w="2264" w:type="dxa"/>
            <w:tcBorders/>
            <w:shd w:fill="auto" w:val="clear"/>
          </w:tcPr>
          <w:p>
            <w:pPr>
              <w:pStyle w:val="Normal"/>
              <w:spacing w:lineRule="auto" w:line="240" w:before="0" w:after="0"/>
              <w:rPr/>
            </w:pPr>
            <w:r>
              <w:rPr/>
              <w:t>&gt; 1 arbre</w:t>
            </w:r>
          </w:p>
        </w:tc>
      </w:tr>
      <w:tr>
        <w:trPr/>
        <w:tc>
          <w:tcPr>
            <w:tcW w:w="2269" w:type="dxa"/>
            <w:tcBorders/>
            <w:shd w:fill="auto" w:val="clear"/>
          </w:tcPr>
          <w:p>
            <w:pPr>
              <w:pStyle w:val="Normal"/>
              <w:spacing w:lineRule="auto" w:line="240" w:before="0" w:after="0"/>
              <w:rPr/>
            </w:pPr>
            <w:r>
              <w:rPr/>
              <w:t>1000 à 2000 m²</w:t>
            </w:r>
          </w:p>
        </w:tc>
        <w:tc>
          <w:tcPr>
            <w:tcW w:w="2264" w:type="dxa"/>
            <w:tcBorders/>
            <w:shd w:fill="auto" w:val="clear"/>
          </w:tcPr>
          <w:p>
            <w:pPr>
              <w:pStyle w:val="Normal"/>
              <w:spacing w:lineRule="auto" w:line="240" w:before="0" w:after="0"/>
              <w:rPr/>
            </w:pPr>
            <w:r>
              <w:rPr/>
              <w:t>0 arbre</w:t>
            </w:r>
          </w:p>
        </w:tc>
        <w:tc>
          <w:tcPr>
            <w:tcW w:w="2263" w:type="dxa"/>
            <w:tcBorders/>
            <w:shd w:fill="auto" w:val="clear"/>
          </w:tcPr>
          <w:p>
            <w:pPr>
              <w:pStyle w:val="Normal"/>
              <w:spacing w:lineRule="auto" w:line="240" w:before="0" w:after="0"/>
              <w:rPr/>
            </w:pPr>
            <w:r>
              <w:rPr/>
              <w:t>&gt; 1 arbre</w:t>
            </w:r>
          </w:p>
        </w:tc>
        <w:tc>
          <w:tcPr>
            <w:tcW w:w="2264" w:type="dxa"/>
            <w:tcBorders/>
            <w:shd w:fill="auto" w:val="clear"/>
          </w:tcPr>
          <w:p>
            <w:pPr>
              <w:pStyle w:val="Normal"/>
              <w:spacing w:lineRule="auto" w:line="240" w:before="0" w:after="0"/>
              <w:rPr/>
            </w:pPr>
            <w:r>
              <w:rPr/>
              <w:t>&gt; 2 arbre</w:t>
            </w:r>
          </w:p>
        </w:tc>
      </w:tr>
      <w:tr>
        <w:trPr/>
        <w:tc>
          <w:tcPr>
            <w:tcW w:w="2269" w:type="dxa"/>
            <w:tcBorders/>
            <w:shd w:fill="auto" w:val="clear"/>
          </w:tcPr>
          <w:p>
            <w:pPr>
              <w:pStyle w:val="Normal"/>
              <w:spacing w:lineRule="auto" w:line="240" w:before="0" w:after="0"/>
              <w:rPr/>
            </w:pPr>
            <w:r>
              <w:rPr/>
              <w:t>2000 à 5000 m²</w:t>
            </w:r>
          </w:p>
        </w:tc>
        <w:tc>
          <w:tcPr>
            <w:tcW w:w="2264" w:type="dxa"/>
            <w:tcBorders/>
            <w:shd w:fill="auto" w:val="clear"/>
          </w:tcPr>
          <w:p>
            <w:pPr>
              <w:pStyle w:val="Normal"/>
              <w:spacing w:lineRule="auto" w:line="240" w:before="0" w:after="0"/>
              <w:rPr/>
            </w:pPr>
            <w:r>
              <w:rPr/>
              <w:t>0 arbre</w:t>
            </w:r>
          </w:p>
        </w:tc>
        <w:tc>
          <w:tcPr>
            <w:tcW w:w="2263" w:type="dxa"/>
            <w:tcBorders/>
            <w:shd w:fill="auto" w:val="clear"/>
          </w:tcPr>
          <w:p>
            <w:pPr>
              <w:pStyle w:val="Normal"/>
              <w:spacing w:lineRule="auto" w:line="240" w:before="0" w:after="0"/>
              <w:rPr/>
            </w:pPr>
            <w:r>
              <w:rPr/>
              <w:t>&gt; 2 arbres</w:t>
            </w:r>
          </w:p>
        </w:tc>
        <w:tc>
          <w:tcPr>
            <w:tcW w:w="2264" w:type="dxa"/>
            <w:tcBorders/>
            <w:shd w:fill="auto" w:val="clear"/>
          </w:tcPr>
          <w:p>
            <w:pPr>
              <w:pStyle w:val="Normal"/>
              <w:spacing w:lineRule="auto" w:line="240" w:before="0" w:after="0"/>
              <w:rPr/>
            </w:pPr>
            <w:r>
              <w:rPr/>
              <w:t>&gt; 3 arbres</w:t>
            </w:r>
          </w:p>
        </w:tc>
      </w:tr>
      <w:tr>
        <w:trPr/>
        <w:tc>
          <w:tcPr>
            <w:tcW w:w="2269" w:type="dxa"/>
            <w:tcBorders/>
            <w:shd w:fill="auto" w:val="clear"/>
          </w:tcPr>
          <w:p>
            <w:pPr>
              <w:pStyle w:val="Normal"/>
              <w:spacing w:lineRule="auto" w:line="240" w:before="0" w:after="0"/>
              <w:rPr/>
            </w:pPr>
            <w:r>
              <w:rPr/>
              <w:t>&gt; 5000 m²</w:t>
            </w:r>
          </w:p>
        </w:tc>
        <w:tc>
          <w:tcPr>
            <w:tcW w:w="2264" w:type="dxa"/>
            <w:tcBorders/>
            <w:shd w:fill="auto" w:val="clear"/>
          </w:tcPr>
          <w:p>
            <w:pPr>
              <w:pStyle w:val="Normal"/>
              <w:spacing w:lineRule="auto" w:line="240" w:before="0" w:after="0"/>
              <w:rPr/>
            </w:pPr>
            <w:r>
              <w:rPr/>
              <w:t>0 arbre</w:t>
            </w:r>
          </w:p>
        </w:tc>
        <w:tc>
          <w:tcPr>
            <w:tcW w:w="2263" w:type="dxa"/>
            <w:tcBorders/>
            <w:shd w:fill="auto" w:val="clear"/>
          </w:tcPr>
          <w:p>
            <w:pPr>
              <w:pStyle w:val="Normal"/>
              <w:spacing w:lineRule="auto" w:line="240" w:before="0" w:after="0"/>
              <w:rPr/>
            </w:pPr>
            <w:r>
              <w:rPr/>
              <w:t>2 à 5 arbres</w:t>
            </w:r>
          </w:p>
        </w:tc>
        <w:tc>
          <w:tcPr>
            <w:tcW w:w="2264" w:type="dxa"/>
            <w:tcBorders/>
            <w:shd w:fill="auto" w:val="clear"/>
          </w:tcPr>
          <w:p>
            <w:pPr>
              <w:pStyle w:val="Normal"/>
              <w:spacing w:lineRule="auto" w:line="240" w:before="0" w:after="0"/>
              <w:rPr/>
            </w:pPr>
            <w:r>
              <w:rPr/>
              <w:t>&gt; 6 arbres</w:t>
            </w:r>
          </w:p>
        </w:tc>
      </w:tr>
    </w:tbl>
    <w:p>
      <w:pPr>
        <w:pStyle w:val="Normal"/>
        <w:rPr/>
      </w:pPr>
      <w:r>
        <w:rPr/>
      </w:r>
    </w:p>
    <w:p>
      <w:pPr>
        <w:pStyle w:val="Normal"/>
        <w:rPr/>
      </w:pPr>
      <w:r>
        <w:rPr/>
        <w:t>Score du site =</w:t>
      </w:r>
    </w:p>
    <w:p>
      <w:pPr>
        <w:sectPr>
          <w:type w:val="continuous"/>
          <w:pgSz w:w="11906" w:h="16838"/>
          <w:pgMar w:left="1417" w:right="1417" w:header="708" w:top="1417" w:footer="708" w:bottom="1417" w:gutter="0"/>
          <w:formProt w:val="false"/>
          <w:textDirection w:val="lrTb"/>
          <w:docGrid w:type="default" w:linePitch="360" w:charSpace="4096"/>
        </w:sectPr>
      </w:pPr>
    </w:p>
    <w:p>
      <w:pPr>
        <w:pStyle w:val="Normal"/>
        <w:rPr/>
      </w:pPr>
      <w:r>
        <w:rPr/>
        <w:drawing>
          <wp:inline distT="0" distB="0" distL="0" distR="0">
            <wp:extent cx="1510030" cy="1988185"/>
            <wp:effectExtent l="0" t="0" r="0" b="0"/>
            <wp:docPr id="11" name="Image 18" descr="C:\Users\Utilisateur\Documents\Recherche\RENATU\rendu EIffage\docs\Figure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8" descr="C:\Users\Utilisateur\Documents\Recherche\RENATU\rendu EIffage\docs\Figure 4.png"/>
                    <pic:cNvPicPr>
                      <a:picLocks noChangeAspect="1" noChangeArrowheads="1"/>
                    </pic:cNvPicPr>
                  </pic:nvPicPr>
                  <pic:blipFill>
                    <a:blip r:embed="rId8"/>
                    <a:stretch>
                      <a:fillRect/>
                    </a:stretch>
                  </pic:blipFill>
                  <pic:spPr bwMode="auto">
                    <a:xfrm>
                      <a:off x="0" y="0"/>
                      <a:ext cx="1510030" cy="1988185"/>
                    </a:xfrm>
                    <a:prstGeom prst="rect">
                      <a:avLst/>
                    </a:prstGeom>
                  </pic:spPr>
                </pic:pic>
              </a:graphicData>
            </a:graphic>
          </wp:inline>
        </w:drawing>
      </w:r>
      <w:r>
        <w:rPr/>
        <w:t xml:space="preserve"> </w:t>
      </w:r>
    </w:p>
    <w:p>
      <w:pPr>
        <w:pStyle w:val="Normal"/>
        <w:rPr/>
      </w:pPr>
      <w:r>
        <w:rPr/>
        <w:t>Figure 2 : Cavité de tronc d’arbre</w:t>
      </w:r>
    </w:p>
    <w:p>
      <w:pPr>
        <w:pStyle w:val="Normal"/>
        <w:rPr/>
      </w:pPr>
      <w:r>
        <w:rPr/>
        <w:drawing>
          <wp:inline distT="0" distB="0" distL="0" distR="0">
            <wp:extent cx="1435100" cy="1913890"/>
            <wp:effectExtent l="0" t="0" r="0" b="0"/>
            <wp:docPr id="12" name="Image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3" descr=""/>
                    <pic:cNvPicPr>
                      <a:picLocks noChangeAspect="1" noChangeArrowheads="1"/>
                    </pic:cNvPicPr>
                  </pic:nvPicPr>
                  <pic:blipFill>
                    <a:blip r:embed="rId9"/>
                    <a:stretch>
                      <a:fillRect/>
                    </a:stretch>
                  </pic:blipFill>
                  <pic:spPr bwMode="auto">
                    <a:xfrm>
                      <a:off x="0" y="0"/>
                      <a:ext cx="1435100" cy="1913890"/>
                    </a:xfrm>
                    <a:prstGeom prst="rect">
                      <a:avLst/>
                    </a:prstGeom>
                  </pic:spPr>
                </pic:pic>
              </a:graphicData>
            </a:graphic>
          </wp:inline>
        </w:drawing>
      </w:r>
      <w:r>
        <w:rPr/>
        <w:t xml:space="preserve"> </w:t>
      </w:r>
    </w:p>
    <w:p>
      <w:pPr>
        <w:pStyle w:val="Normal"/>
        <w:rPr/>
      </w:pPr>
      <w:r>
        <w:rPr/>
        <w:t xml:space="preserve">Figure 3 : Lierre </w:t>
      </w:r>
    </w:p>
    <w:p>
      <w:pPr>
        <w:pStyle w:val="Normal"/>
        <w:rPr/>
      </w:pPr>
      <w:r>
        <w:rPr/>
        <w:drawing>
          <wp:inline distT="0" distB="0" distL="0" distR="0">
            <wp:extent cx="1490980" cy="1988185"/>
            <wp:effectExtent l="0" t="0" r="0" b="0"/>
            <wp:docPr id="13" name="Imag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4" descr=""/>
                    <pic:cNvPicPr>
                      <a:picLocks noChangeAspect="1" noChangeArrowheads="1"/>
                    </pic:cNvPicPr>
                  </pic:nvPicPr>
                  <pic:blipFill>
                    <a:blip r:embed="rId10"/>
                    <a:stretch>
                      <a:fillRect/>
                    </a:stretch>
                  </pic:blipFill>
                  <pic:spPr bwMode="auto">
                    <a:xfrm>
                      <a:off x="0" y="0"/>
                      <a:ext cx="1490980" cy="1988185"/>
                    </a:xfrm>
                    <a:prstGeom prst="rect">
                      <a:avLst/>
                    </a:prstGeom>
                  </pic:spPr>
                </pic:pic>
              </a:graphicData>
            </a:graphic>
          </wp:inline>
        </w:drawing>
      </w:r>
    </w:p>
    <w:p>
      <w:pPr>
        <w:pStyle w:val="Normal"/>
        <w:rPr/>
      </w:pPr>
      <w:r>
        <w:rPr/>
        <w:t> </w:t>
      </w:r>
      <w:r>
        <w:rPr/>
        <w:t>Figure 4 : Champignons polypores</w:t>
      </w:r>
    </w:p>
    <w:p>
      <w:pPr>
        <w:sectPr>
          <w:type w:val="continuous"/>
          <w:pgSz w:w="11906" w:h="16838"/>
          <w:pgMar w:left="1417" w:right="1417" w:header="708" w:top="1417" w:footer="708" w:bottom="1417" w:gutter="0"/>
          <w:cols w:num="3" w:equalWidth="false" w:sep="false">
            <w:col w:w="2670" w:space="708"/>
            <w:col w:w="2316" w:space="708"/>
            <w:col w:w="2670"/>
          </w:cols>
          <w:formProt w:val="false"/>
          <w:textDirection w:val="lrTb"/>
          <w:docGrid w:type="default" w:linePitch="360" w:charSpace="4096"/>
        </w:sectPr>
      </w:pPr>
    </w:p>
    <w:p>
      <w:pPr>
        <w:pStyle w:val="Titre3"/>
        <w:numPr>
          <w:ilvl w:val="2"/>
          <w:numId w:val="2"/>
        </w:numPr>
        <w:rPr/>
      </w:pPr>
      <w:bookmarkStart w:id="10" w:name="_Toc33726972"/>
      <w:r>
        <w:rPr/>
        <w:t>La strate herbacée et sa gestion</w:t>
      </w:r>
      <w:bookmarkEnd w:id="10"/>
    </w:p>
    <w:p>
      <w:pPr>
        <w:pStyle w:val="Normal"/>
        <w:rPr/>
      </w:pPr>
      <w:r>
        <w:rPr/>
        <w:t>Concernant la strate herbacée, il faut envisager deux indices :</w:t>
      </w:r>
    </w:p>
    <w:p>
      <w:pPr>
        <w:pStyle w:val="Puces"/>
        <w:numPr>
          <w:ilvl w:val="6"/>
          <w:numId w:val="3"/>
        </w:numPr>
        <w:spacing w:lineRule="auto" w:line="240"/>
        <w:ind w:left="284" w:hanging="284"/>
        <w:jc w:val="left"/>
        <w:rPr/>
      </w:pPr>
      <w:r>
        <w:rPr/>
        <w:t>La physionomie du paysage de l’espace (l’entretien, la nature et la fréquence de la tonte ou de la fauche) ;</w:t>
      </w:r>
    </w:p>
    <w:p>
      <w:pPr>
        <w:pStyle w:val="Puces"/>
        <w:numPr>
          <w:ilvl w:val="6"/>
          <w:numId w:val="3"/>
        </w:numPr>
        <w:spacing w:lineRule="auto" w:line="240"/>
        <w:ind w:left="284" w:hanging="284"/>
        <w:jc w:val="left"/>
        <w:rPr/>
      </w:pPr>
      <w:r>
        <w:rPr/>
        <w:t>La variété des espèces.</w:t>
      </w:r>
    </w:p>
    <w:p>
      <w:pPr>
        <w:pStyle w:val="Normal"/>
        <w:rPr/>
      </w:pPr>
      <w:r>
        <w:rPr/>
      </w:r>
    </w:p>
    <w:p>
      <w:pPr>
        <w:pStyle w:val="Normal"/>
        <w:rPr/>
      </w:pPr>
      <w:r>
        <w:rPr/>
        <w:t>Concernant les tontes et/ou les fauches : plus les fauches sont tardives et espacées, plus elles favorisent la pollinisation mais aussi la présence de la faune, des insectes, des papillons, des oiseaux, des mammifères, pour leur reproduction (ponte, nidification) ou leur nutrition.</w:t>
      </w:r>
    </w:p>
    <w:p>
      <w:pPr>
        <w:pStyle w:val="Normal"/>
        <w:rPr/>
      </w:pPr>
      <w:r>
        <w:rPr/>
      </w:r>
    </w:p>
    <w:p>
      <w:pPr>
        <w:sectPr>
          <w:type w:val="continuous"/>
          <w:pgSz w:w="11906" w:h="16838"/>
          <w:pgMar w:left="1417" w:right="1417" w:header="708" w:top="1417" w:footer="708" w:bottom="1417" w:gutter="0"/>
          <w:formProt w:val="false"/>
          <w:textDirection w:val="lrTb"/>
          <w:docGrid w:type="default" w:linePitch="360" w:charSpace="4096"/>
        </w:sectPr>
      </w:pPr>
    </w:p>
    <w:tbl>
      <w:tblPr>
        <w:tblStyle w:val="Grilledutableau"/>
        <w:tblW w:w="4172" w:type="dxa"/>
        <w:jc w:val="left"/>
        <w:tblInd w:w="0" w:type="dxa"/>
        <w:tblCellMar>
          <w:top w:w="0" w:type="dxa"/>
          <w:left w:w="108" w:type="dxa"/>
          <w:bottom w:w="0" w:type="dxa"/>
          <w:right w:w="108" w:type="dxa"/>
        </w:tblCellMar>
        <w:tblLook w:firstRow="1" w:noVBand="1" w:lastRow="0" w:firstColumn="1" w:lastColumn="0" w:noHBand="0" w:val="04a0"/>
      </w:tblPr>
      <w:tblGrid>
        <w:gridCol w:w="3368"/>
        <w:gridCol w:w="803"/>
      </w:tblGrid>
      <w:tr>
        <w:trPr/>
        <w:tc>
          <w:tcPr>
            <w:tcW w:w="3368" w:type="dxa"/>
            <w:tcBorders/>
            <w:shd w:fill="auto" w:val="clear"/>
          </w:tcPr>
          <w:p>
            <w:pPr>
              <w:pStyle w:val="Normal"/>
              <w:spacing w:lineRule="auto" w:line="240" w:before="0" w:after="0"/>
              <w:rPr>
                <w:b/>
                <w:b/>
              </w:rPr>
            </w:pPr>
            <w:r>
              <w:rPr>
                <w:b/>
              </w:rPr>
              <w:t>Fréquence de tonte ou de fauche</w:t>
            </w:r>
          </w:p>
        </w:tc>
        <w:tc>
          <w:tcPr>
            <w:tcW w:w="803" w:type="dxa"/>
            <w:tcBorders/>
            <w:shd w:fill="auto" w:val="clear"/>
          </w:tcPr>
          <w:p>
            <w:pPr>
              <w:pStyle w:val="Normal"/>
              <w:spacing w:lineRule="auto" w:line="240" w:before="0" w:after="0"/>
              <w:rPr>
                <w:b/>
                <w:b/>
              </w:rPr>
            </w:pPr>
            <w:r>
              <w:rPr>
                <w:b/>
                <w:color w:val="FF0000"/>
              </w:rPr>
              <w:t xml:space="preserve">Score </w:t>
            </w:r>
          </w:p>
        </w:tc>
      </w:tr>
      <w:tr>
        <w:trPr/>
        <w:tc>
          <w:tcPr>
            <w:tcW w:w="3368" w:type="dxa"/>
            <w:tcBorders/>
            <w:shd w:fill="auto" w:val="clear"/>
          </w:tcPr>
          <w:p>
            <w:pPr>
              <w:pStyle w:val="Normal"/>
              <w:spacing w:lineRule="auto" w:line="240" w:before="0" w:after="0"/>
              <w:rPr/>
            </w:pPr>
            <w:r>
              <w:rPr/>
              <w:t>Utilisation de désherbants, de produits phytosanitaires (Fig.5)</w:t>
            </w:r>
          </w:p>
        </w:tc>
        <w:tc>
          <w:tcPr>
            <w:tcW w:w="803" w:type="dxa"/>
            <w:tcBorders/>
            <w:shd w:fill="auto" w:val="clear"/>
          </w:tcPr>
          <w:p>
            <w:pPr>
              <w:pStyle w:val="Normal"/>
              <w:spacing w:lineRule="auto" w:line="240" w:before="0" w:after="0"/>
              <w:rPr/>
            </w:pPr>
            <w:r>
              <w:rPr/>
              <w:t>0</w:t>
            </w:r>
          </w:p>
        </w:tc>
      </w:tr>
      <w:tr>
        <w:trPr/>
        <w:tc>
          <w:tcPr>
            <w:tcW w:w="3368" w:type="dxa"/>
            <w:tcBorders/>
            <w:shd w:fill="auto" w:val="clear"/>
          </w:tcPr>
          <w:p>
            <w:pPr>
              <w:pStyle w:val="Normal"/>
              <w:spacing w:lineRule="auto" w:line="240" w:before="0" w:after="0"/>
              <w:rPr/>
            </w:pPr>
            <w:r>
              <w:rPr>
                <w:u w:val="single"/>
              </w:rPr>
              <w:t>&gt;</w:t>
            </w:r>
            <w:r>
              <w:rPr/>
              <w:t xml:space="preserve"> 3 tontes par an</w:t>
            </w:r>
          </w:p>
        </w:tc>
        <w:tc>
          <w:tcPr>
            <w:tcW w:w="803" w:type="dxa"/>
            <w:tcBorders/>
            <w:shd w:fill="auto" w:val="clear"/>
          </w:tcPr>
          <w:p>
            <w:pPr>
              <w:pStyle w:val="Normal"/>
              <w:spacing w:lineRule="auto" w:line="240" w:before="0" w:after="0"/>
              <w:rPr/>
            </w:pPr>
            <w:r>
              <w:rPr/>
              <w:t>1</w:t>
            </w:r>
          </w:p>
        </w:tc>
      </w:tr>
      <w:tr>
        <w:trPr/>
        <w:tc>
          <w:tcPr>
            <w:tcW w:w="3368" w:type="dxa"/>
            <w:tcBorders/>
            <w:shd w:fill="auto" w:val="clear"/>
          </w:tcPr>
          <w:p>
            <w:pPr>
              <w:pStyle w:val="Normal"/>
              <w:spacing w:lineRule="auto" w:line="240" w:before="0" w:after="0"/>
              <w:rPr/>
            </w:pPr>
            <w:r>
              <w:rPr/>
              <w:t>2 fauches par an</w:t>
            </w:r>
          </w:p>
        </w:tc>
        <w:tc>
          <w:tcPr>
            <w:tcW w:w="803" w:type="dxa"/>
            <w:tcBorders/>
            <w:shd w:fill="auto" w:val="clear"/>
          </w:tcPr>
          <w:p>
            <w:pPr>
              <w:pStyle w:val="Normal"/>
              <w:spacing w:lineRule="auto" w:line="240" w:before="0" w:after="0"/>
              <w:rPr/>
            </w:pPr>
            <w:r>
              <w:rPr/>
              <w:t>2</w:t>
            </w:r>
          </w:p>
        </w:tc>
      </w:tr>
      <w:tr>
        <w:trPr/>
        <w:tc>
          <w:tcPr>
            <w:tcW w:w="3368" w:type="dxa"/>
            <w:tcBorders/>
            <w:shd w:fill="auto" w:val="clear"/>
          </w:tcPr>
          <w:p>
            <w:pPr>
              <w:pStyle w:val="Normal"/>
              <w:spacing w:lineRule="auto" w:line="240" w:before="0" w:after="0"/>
              <w:rPr/>
            </w:pPr>
            <w:r>
              <w:rPr/>
              <w:t>Fauche tardive mi-juin à mi-juillet (Fig.6)</w:t>
            </w:r>
          </w:p>
        </w:tc>
        <w:tc>
          <w:tcPr>
            <w:tcW w:w="803" w:type="dxa"/>
            <w:tcBorders/>
            <w:shd w:fill="auto" w:val="clear"/>
          </w:tcPr>
          <w:p>
            <w:pPr>
              <w:pStyle w:val="Normal"/>
              <w:spacing w:lineRule="auto" w:line="240" w:before="0" w:after="0"/>
              <w:rPr/>
            </w:pPr>
            <w:r>
              <w:rPr/>
              <w:t>3</w:t>
            </w:r>
          </w:p>
        </w:tc>
      </w:tr>
      <w:tr>
        <w:trPr/>
        <w:tc>
          <w:tcPr>
            <w:tcW w:w="3368" w:type="dxa"/>
            <w:tcBorders/>
            <w:shd w:fill="auto" w:val="clear"/>
          </w:tcPr>
          <w:p>
            <w:pPr>
              <w:pStyle w:val="Normal"/>
              <w:spacing w:lineRule="auto" w:line="240" w:before="0" w:after="0"/>
              <w:rPr/>
            </w:pPr>
            <w:r>
              <w:rPr/>
              <w:t>Fauche tardive de fin août à novembre, écopâturage, fauche en mosaïque</w:t>
            </w:r>
          </w:p>
        </w:tc>
        <w:tc>
          <w:tcPr>
            <w:tcW w:w="803" w:type="dxa"/>
            <w:tcBorders/>
            <w:shd w:fill="auto" w:val="clear"/>
          </w:tcPr>
          <w:p>
            <w:pPr>
              <w:pStyle w:val="Normal"/>
              <w:spacing w:lineRule="auto" w:line="240" w:before="0" w:after="0"/>
              <w:rPr/>
            </w:pPr>
            <w:r>
              <w:rPr/>
              <w:t>5</w:t>
            </w:r>
          </w:p>
        </w:tc>
      </w:tr>
    </w:tbl>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t xml:space="preserve">Score du site = </w:t>
      </w:r>
    </w:p>
    <w:p>
      <w:pPr>
        <w:pStyle w:val="Normal"/>
        <w:rPr>
          <w:lang w:eastAsia="fr-FR"/>
        </w:rPr>
      </w:pPr>
      <w:r>
        <w:rPr>
          <w:lang w:eastAsia="fr-F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Normal"/>
        <w:rPr>
          <w:lang w:eastAsia="fr-FR"/>
        </w:rPr>
      </w:pPr>
      <w:r>
        <w:rPr/>
        <w:drawing>
          <wp:inline distT="0" distB="0" distL="0" distR="0">
            <wp:extent cx="1771650" cy="1990090"/>
            <wp:effectExtent l="0" t="0" r="0" b="0"/>
            <wp:docPr id="14"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2" descr=""/>
                    <pic:cNvPicPr>
                      <a:picLocks noChangeAspect="1" noChangeArrowheads="1"/>
                    </pic:cNvPicPr>
                  </pic:nvPicPr>
                  <pic:blipFill>
                    <a:blip r:embed="rId11"/>
                    <a:stretch>
                      <a:fillRect/>
                    </a:stretch>
                  </pic:blipFill>
                  <pic:spPr bwMode="auto">
                    <a:xfrm>
                      <a:off x="0" y="0"/>
                      <a:ext cx="1771650" cy="1990090"/>
                    </a:xfrm>
                    <a:prstGeom prst="rect">
                      <a:avLst/>
                    </a:prstGeom>
                  </pic:spPr>
                </pic:pic>
              </a:graphicData>
            </a:graphic>
          </wp:inline>
        </w:drawing>
      </w:r>
      <w:r>
        <w:rPr>
          <w:lang w:eastAsia="fr-FR"/>
        </w:rPr>
        <w:t xml:space="preserve">  </w:t>
      </w:r>
    </w:p>
    <w:p>
      <w:pPr>
        <w:pStyle w:val="Normal"/>
        <w:rPr>
          <w:lang w:eastAsia="fr-FR"/>
        </w:rPr>
      </w:pPr>
      <w:r>
        <w:rPr>
          <w:lang w:eastAsia="fr-FR"/>
        </w:rPr>
        <w:t>Figure 5 : Tonte récurrente et utilisation de produits phytosanitaires</w:t>
      </w:r>
    </w:p>
    <w:p>
      <w:pPr>
        <w:pStyle w:val="Normal"/>
        <w:rPr>
          <w:lang w:eastAsia="fr-FR"/>
        </w:rPr>
      </w:pPr>
      <w:r>
        <w:rPr>
          <w:lang w:eastAsia="fr-FR"/>
        </w:rPr>
        <w:t xml:space="preserve">                 </w:t>
      </w:r>
      <w:r>
        <w:rPr/>
        <w:drawing>
          <wp:inline distT="0" distB="0" distL="0" distR="0">
            <wp:extent cx="1752600" cy="1981200"/>
            <wp:effectExtent l="0" t="0" r="0" b="0"/>
            <wp:docPr id="15"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 descr=""/>
                    <pic:cNvPicPr>
                      <a:picLocks noChangeAspect="1" noChangeArrowheads="1"/>
                    </pic:cNvPicPr>
                  </pic:nvPicPr>
                  <pic:blipFill>
                    <a:blip r:embed="rId12"/>
                    <a:stretch>
                      <a:fillRect/>
                    </a:stretch>
                  </pic:blipFill>
                  <pic:spPr bwMode="auto">
                    <a:xfrm>
                      <a:off x="0" y="0"/>
                      <a:ext cx="1752600" cy="1981200"/>
                    </a:xfrm>
                    <a:prstGeom prst="rect">
                      <a:avLst/>
                    </a:prstGeom>
                  </pic:spPr>
                </pic:pic>
              </a:graphicData>
            </a:graphic>
          </wp:inline>
        </w:drawing>
      </w:r>
    </w:p>
    <w:p>
      <w:pPr>
        <w:pStyle w:val="Normal"/>
        <w:jc w:val="center"/>
        <w:rPr/>
      </w:pPr>
      <w:r>
        <w:rPr>
          <w:lang w:eastAsia="fr-FR"/>
        </w:rPr>
        <w:t>Figure 6 : Fauches tardives</w:t>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Titre3"/>
        <w:numPr>
          <w:ilvl w:val="2"/>
          <w:numId w:val="2"/>
        </w:numPr>
        <w:rPr/>
      </w:pPr>
      <w:bookmarkStart w:id="11" w:name="_Toc33726973"/>
      <w:r>
        <w:rPr/>
        <w:t>Les espèces herbacées : les fleurs</w:t>
      </w:r>
      <w:bookmarkEnd w:id="11"/>
    </w:p>
    <w:p>
      <w:pPr>
        <w:pStyle w:val="Normal"/>
        <w:rPr/>
      </w:pPr>
      <w:r>
        <w:rPr/>
        <w:t>Plus les espèces sont variées, plus le milieu est porteur de biodiversité, plus il est attractif pour les insectes pollinisateurs etc. L’indicateur repose donc ici, sur la détermination de critères simples permettant de distinguer des types de fleurs en trois catégories :</w:t>
      </w:r>
    </w:p>
    <w:p>
      <w:pPr>
        <w:sectPr>
          <w:type w:val="continuous"/>
          <w:pgSz w:w="11906" w:h="16838"/>
          <w:pgMar w:left="1417" w:right="1417" w:header="708" w:top="1417" w:footer="708" w:bottom="1417" w:gutter="0"/>
          <w:formProt w:val="false"/>
          <w:textDirection w:val="lrTb"/>
          <w:docGrid w:type="default" w:linePitch="360" w:charSpace="4096"/>
        </w:sectPr>
      </w:pPr>
    </w:p>
    <w:p>
      <w:pPr>
        <w:pStyle w:val="Puces"/>
        <w:numPr>
          <w:ilvl w:val="6"/>
          <w:numId w:val="3"/>
        </w:numPr>
        <w:ind w:left="284" w:hanging="284"/>
        <w:rPr>
          <w:lang w:eastAsia="fr-FR"/>
        </w:rPr>
      </w:pPr>
      <w:r>
        <w:rPr>
          <w:lang w:eastAsia="fr-FR"/>
        </w:rPr>
        <w:t>La forme des fleurs ;</w:t>
      </w:r>
    </w:p>
    <w:p>
      <w:pPr>
        <w:pStyle w:val="Puces"/>
        <w:numPr>
          <w:ilvl w:val="6"/>
          <w:numId w:val="3"/>
        </w:numPr>
        <w:ind w:left="284" w:hanging="284"/>
        <w:rPr>
          <w:lang w:eastAsia="fr-FR"/>
        </w:rPr>
      </w:pPr>
      <w:r>
        <w:rPr>
          <w:lang w:eastAsia="fr-FR"/>
        </w:rPr>
        <w:t>La forme des feuilles ;</w:t>
      </w:r>
    </w:p>
    <w:p>
      <w:pPr>
        <w:pStyle w:val="Puces"/>
        <w:numPr>
          <w:ilvl w:val="6"/>
          <w:numId w:val="3"/>
        </w:numPr>
        <w:ind w:left="284" w:hanging="284"/>
        <w:rPr>
          <w:lang w:eastAsia="fr-FR"/>
        </w:rPr>
      </w:pPr>
      <w:r>
        <w:rPr>
          <w:lang w:eastAsia="fr-FR"/>
        </w:rPr>
        <w:t>Les couleurs des fleurs.</w:t>
      </w:r>
    </w:p>
    <w:p>
      <w:pPr>
        <w:sectPr>
          <w:type w:val="continuous"/>
          <w:pgSz w:w="11906" w:h="16838"/>
          <w:pgMar w:left="1417" w:right="1417" w:header="708" w:top="1417" w:footer="708" w:bottom="1417" w:gutter="0"/>
          <w:cols w:num="3" w:equalWidth="false" w:sep="false">
            <w:col w:w="2670" w:space="708"/>
            <w:col w:w="2316" w:space="708"/>
            <w:col w:w="2670"/>
          </w:cols>
          <w:formProt w:val="false"/>
          <w:textDirection w:val="lrTb"/>
          <w:docGrid w:type="default" w:linePitch="360" w:charSpace="4096"/>
        </w:sectPr>
      </w:pPr>
    </w:p>
    <w:p>
      <w:pPr>
        <w:pStyle w:val="Normal"/>
        <w:rPr>
          <w:b/>
          <w:b/>
          <w:lang w:eastAsia="fr-FR"/>
        </w:rPr>
      </w:pPr>
      <w:r>
        <w:rPr>
          <w:b/>
          <w:lang w:eastAsia="fr-FR"/>
        </w:rPr>
        <w:t>1 - Forme des fleurs :</w:t>
      </w:r>
    </w:p>
    <w:p>
      <w:pPr>
        <w:pStyle w:val="Normal"/>
        <w:rPr>
          <w:b/>
          <w:b/>
        </w:rPr>
      </w:pPr>
      <w:r>
        <w:rPr/>
        <w:drawing>
          <wp:inline distT="0" distB="0" distL="0" distR="0">
            <wp:extent cx="4205605" cy="5629275"/>
            <wp:effectExtent l="0" t="0" r="0" b="0"/>
            <wp:docPr id="16" name="Image 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27" descr=""/>
                    <pic:cNvPicPr>
                      <a:picLocks noChangeAspect="1" noChangeArrowheads="1"/>
                    </pic:cNvPicPr>
                  </pic:nvPicPr>
                  <pic:blipFill>
                    <a:blip r:embed="rId13"/>
                    <a:stretch>
                      <a:fillRect/>
                    </a:stretch>
                  </pic:blipFill>
                  <pic:spPr bwMode="auto">
                    <a:xfrm>
                      <a:off x="0" y="0"/>
                      <a:ext cx="4205605" cy="5629275"/>
                    </a:xfrm>
                    <a:prstGeom prst="rect">
                      <a:avLst/>
                    </a:prstGeom>
                  </pic:spPr>
                </pic:pic>
              </a:graphicData>
            </a:graphic>
          </wp:inline>
        </w:drawing>
      </w:r>
    </w:p>
    <w:p>
      <w:pPr>
        <w:pStyle w:val="Normal"/>
        <w:rPr>
          <w:lang w:eastAsia="fr-FR"/>
        </w:rPr>
      </w:pPr>
      <w:r>
        <w:rPr>
          <w:lang w:eastAsia="fr-FR"/>
        </w:rPr>
        <w:t xml:space="preserve">Figure 7 : Les différentes formes de fleurs (d’après </w:t>
      </w:r>
      <w:r>
        <w:rPr>
          <w:i/>
          <w:lang w:eastAsia="fr-FR"/>
        </w:rPr>
        <w:t xml:space="preserve">inflorescences – </w:t>
      </w:r>
      <w:hyperlink r:id="rId14">
        <w:r>
          <w:rPr>
            <w:rStyle w:val="LienInternet"/>
            <w:i/>
            <w:lang w:eastAsia="fr-FR"/>
          </w:rPr>
          <w:t>www.afleurdepau.com/Flore/vocab/info.php</w:t>
        </w:r>
      </w:hyperlink>
      <w:r>
        <w:rPr>
          <w:lang w:eastAsia="fr-FR"/>
        </w:rPr>
        <w:t xml:space="preserve">)  </w:t>
      </w:r>
    </w:p>
    <w:p>
      <w:pPr>
        <w:sectPr>
          <w:type w:val="continuous"/>
          <w:pgSz w:w="11906" w:h="16838"/>
          <w:pgMar w:left="1417" w:right="1417" w:header="708" w:top="1417" w:footer="708" w:bottom="1417" w:gutter="0"/>
          <w:formProt w:val="false"/>
          <w:textDirection w:val="lrTb"/>
          <w:docGrid w:type="default" w:linePitch="360" w:charSpace="4096"/>
        </w:sectPr>
      </w:pPr>
    </w:p>
    <w:tbl>
      <w:tblPr>
        <w:tblStyle w:val="Grilledutableau"/>
        <w:tblW w:w="2972" w:type="dxa"/>
        <w:jc w:val="left"/>
        <w:tblInd w:w="0" w:type="dxa"/>
        <w:tblCellMar>
          <w:top w:w="0" w:type="dxa"/>
          <w:left w:w="108" w:type="dxa"/>
          <w:bottom w:w="0" w:type="dxa"/>
          <w:right w:w="108" w:type="dxa"/>
        </w:tblCellMar>
        <w:tblLook w:firstRow="1" w:noVBand="1" w:lastRow="0" w:firstColumn="1" w:lastColumn="0" w:noHBand="0" w:val="04a0"/>
      </w:tblPr>
      <w:tblGrid>
        <w:gridCol w:w="2093"/>
        <w:gridCol w:w="878"/>
      </w:tblGrid>
      <w:tr>
        <w:trPr/>
        <w:tc>
          <w:tcPr>
            <w:tcW w:w="2093" w:type="dxa"/>
            <w:tcBorders/>
            <w:shd w:fill="auto" w:val="clear"/>
          </w:tcPr>
          <w:p>
            <w:pPr>
              <w:pStyle w:val="Normal"/>
              <w:spacing w:lineRule="auto" w:line="240" w:before="0" w:after="0"/>
              <w:rPr>
                <w:b/>
                <w:b/>
              </w:rPr>
            </w:pPr>
            <w:r>
              <w:rPr>
                <w:b/>
              </w:rPr>
              <w:t>Nombre de formes de fleurs</w:t>
            </w:r>
          </w:p>
        </w:tc>
        <w:tc>
          <w:tcPr>
            <w:tcW w:w="878" w:type="dxa"/>
            <w:tcBorders/>
            <w:shd w:color="auto" w:fill="auto" w:val="clear"/>
          </w:tcPr>
          <w:p>
            <w:pPr>
              <w:pStyle w:val="Normal"/>
              <w:spacing w:lineRule="auto" w:line="240" w:before="0" w:after="0"/>
              <w:rPr>
                <w:b/>
                <w:b/>
              </w:rPr>
            </w:pPr>
            <w:r>
              <w:rPr>
                <w:b/>
                <w:color w:val="FF0000"/>
              </w:rPr>
              <w:t>Score</w:t>
            </w:r>
          </w:p>
        </w:tc>
      </w:tr>
      <w:tr>
        <w:trPr/>
        <w:tc>
          <w:tcPr>
            <w:tcW w:w="2093" w:type="dxa"/>
            <w:tcBorders/>
            <w:shd w:fill="auto" w:val="clear"/>
          </w:tcPr>
          <w:p>
            <w:pPr>
              <w:pStyle w:val="Normal"/>
              <w:spacing w:lineRule="auto" w:line="240" w:before="0" w:after="0"/>
              <w:rPr/>
            </w:pPr>
            <w:r>
              <w:rPr/>
              <w:t>0</w:t>
            </w:r>
          </w:p>
        </w:tc>
        <w:tc>
          <w:tcPr>
            <w:tcW w:w="878" w:type="dxa"/>
            <w:tcBorders/>
            <w:shd w:color="auto" w:fill="auto" w:val="clear"/>
          </w:tcPr>
          <w:p>
            <w:pPr>
              <w:pStyle w:val="Normal"/>
              <w:spacing w:lineRule="auto" w:line="240" w:before="0" w:after="0"/>
              <w:rPr/>
            </w:pPr>
            <w:r>
              <w:rPr/>
              <w:t>0</w:t>
            </w:r>
          </w:p>
        </w:tc>
      </w:tr>
      <w:tr>
        <w:trPr/>
        <w:tc>
          <w:tcPr>
            <w:tcW w:w="2093" w:type="dxa"/>
            <w:tcBorders/>
            <w:shd w:fill="auto" w:val="clear"/>
          </w:tcPr>
          <w:p>
            <w:pPr>
              <w:pStyle w:val="Normal"/>
              <w:spacing w:lineRule="auto" w:line="240" w:before="0" w:after="0"/>
              <w:rPr/>
            </w:pPr>
            <w:r>
              <w:rPr/>
              <w:t>1</w:t>
            </w:r>
          </w:p>
        </w:tc>
        <w:tc>
          <w:tcPr>
            <w:tcW w:w="878" w:type="dxa"/>
            <w:tcBorders/>
            <w:shd w:color="auto" w:fill="auto" w:val="clear"/>
          </w:tcPr>
          <w:p>
            <w:pPr>
              <w:pStyle w:val="Normal"/>
              <w:spacing w:lineRule="auto" w:line="240" w:before="0" w:after="0"/>
              <w:rPr/>
            </w:pPr>
            <w:r>
              <w:rPr/>
              <w:t>1</w:t>
            </w:r>
          </w:p>
        </w:tc>
      </w:tr>
      <w:tr>
        <w:trPr/>
        <w:tc>
          <w:tcPr>
            <w:tcW w:w="2093" w:type="dxa"/>
            <w:tcBorders/>
            <w:shd w:fill="auto" w:val="clear"/>
          </w:tcPr>
          <w:p>
            <w:pPr>
              <w:pStyle w:val="Normal"/>
              <w:spacing w:lineRule="auto" w:line="240" w:before="0" w:after="0"/>
              <w:rPr/>
            </w:pPr>
            <w:r>
              <w:rPr/>
              <w:t>2</w:t>
            </w:r>
          </w:p>
        </w:tc>
        <w:tc>
          <w:tcPr>
            <w:tcW w:w="878" w:type="dxa"/>
            <w:tcBorders/>
            <w:shd w:color="auto" w:fill="auto" w:val="clear"/>
          </w:tcPr>
          <w:p>
            <w:pPr>
              <w:pStyle w:val="Normal"/>
              <w:spacing w:lineRule="auto" w:line="240" w:before="0" w:after="0"/>
              <w:rPr/>
            </w:pPr>
            <w:r>
              <w:rPr/>
              <w:t>2</w:t>
            </w:r>
          </w:p>
        </w:tc>
      </w:tr>
      <w:tr>
        <w:trPr/>
        <w:tc>
          <w:tcPr>
            <w:tcW w:w="2093" w:type="dxa"/>
            <w:tcBorders/>
            <w:shd w:fill="auto" w:val="clear"/>
          </w:tcPr>
          <w:p>
            <w:pPr>
              <w:pStyle w:val="Normal"/>
              <w:spacing w:lineRule="auto" w:line="240" w:before="0" w:after="0"/>
              <w:rPr/>
            </w:pPr>
            <w:r>
              <w:rPr/>
              <w:t>3</w:t>
            </w:r>
          </w:p>
        </w:tc>
        <w:tc>
          <w:tcPr>
            <w:tcW w:w="878" w:type="dxa"/>
            <w:tcBorders/>
            <w:shd w:color="auto" w:fill="auto" w:val="clear"/>
          </w:tcPr>
          <w:p>
            <w:pPr>
              <w:pStyle w:val="Normal"/>
              <w:spacing w:lineRule="auto" w:line="240" w:before="0" w:after="0"/>
              <w:rPr/>
            </w:pPr>
            <w:r>
              <w:rPr/>
              <w:t>3</w:t>
            </w:r>
          </w:p>
        </w:tc>
      </w:tr>
      <w:tr>
        <w:trPr/>
        <w:tc>
          <w:tcPr>
            <w:tcW w:w="2093" w:type="dxa"/>
            <w:tcBorders/>
            <w:shd w:fill="auto" w:val="clear"/>
          </w:tcPr>
          <w:p>
            <w:pPr>
              <w:pStyle w:val="Normal"/>
              <w:spacing w:lineRule="auto" w:line="240" w:before="0" w:after="0"/>
              <w:rPr/>
            </w:pPr>
            <w:r>
              <w:rPr/>
              <w:t>4 ou plus</w:t>
            </w:r>
          </w:p>
        </w:tc>
        <w:tc>
          <w:tcPr>
            <w:tcW w:w="878" w:type="dxa"/>
            <w:tcBorders/>
            <w:shd w:color="auto" w:fill="auto" w:val="clear"/>
          </w:tcPr>
          <w:p>
            <w:pPr>
              <w:pStyle w:val="Normal"/>
              <w:spacing w:lineRule="auto" w:line="240" w:before="0" w:after="0"/>
              <w:rPr/>
            </w:pPr>
            <w:r>
              <w:rPr/>
              <w:t>5</w:t>
            </w:r>
          </w:p>
        </w:tc>
      </w:tr>
    </w:tbl>
    <w:p>
      <w:pPr>
        <w:pStyle w:val="Normal"/>
        <w:rPr>
          <w:lang w:eastAsia="fr-FR"/>
        </w:rPr>
      </w:pPr>
      <w:r>
        <w:rPr>
          <w:lang w:eastAsia="fr-FR"/>
        </w:rPr>
      </w:r>
    </w:p>
    <w:p>
      <w:pPr>
        <w:pStyle w:val="Normal"/>
        <w:rPr>
          <w:lang w:eastAsia="fr-FR"/>
        </w:rPr>
      </w:pPr>
      <w:r>
        <w:rPr>
          <w:lang w:eastAsia="fr-FR"/>
        </w:rPr>
      </w:r>
    </w:p>
    <w:p>
      <w:pPr>
        <w:pStyle w:val="Normal"/>
        <w:rPr>
          <w:lang w:eastAsia="fr-FR"/>
        </w:rPr>
      </w:pPr>
      <w:r>
        <w:rPr>
          <w:lang w:eastAsia="fr-FR"/>
        </w:rPr>
      </w:r>
    </w:p>
    <w:p>
      <w:pPr>
        <w:pStyle w:val="Normal"/>
        <w:rPr>
          <w:lang w:eastAsia="fr-FR"/>
        </w:rPr>
      </w:pPr>
      <w:r>
        <w:rPr>
          <w:lang w:eastAsia="fr-FR"/>
        </w:rPr>
      </w:r>
    </w:p>
    <w:p>
      <w:pPr>
        <w:pStyle w:val="Normal"/>
        <w:rPr>
          <w:lang w:eastAsia="fr-FR"/>
        </w:rPr>
      </w:pPr>
      <w:r>
        <w:rPr>
          <w:lang w:eastAsia="fr-FR"/>
        </w:rPr>
      </w:r>
    </w:p>
    <w:p>
      <w:pPr>
        <w:pStyle w:val="Normal"/>
        <w:rPr>
          <w:lang w:eastAsia="fr-FR"/>
        </w:rPr>
      </w:pPr>
      <w:r>
        <w:rPr>
          <w:lang w:eastAsia="fr-FR"/>
        </w:rPr>
        <w:t xml:space="preserve">Score = </w:t>
      </w:r>
    </w:p>
    <w:p>
      <w:pPr>
        <w:pStyle w:val="Normal"/>
        <w:rPr/>
      </w:pPr>
      <w: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Normal"/>
        <w:rPr/>
      </w:pPr>
      <w:r>
        <w:rPr/>
      </w:r>
    </w:p>
    <w:p>
      <w:pPr>
        <w:pStyle w:val="Normal"/>
        <w:rPr/>
      </w:pPr>
      <w:r>
        <w:rPr>
          <w:lang w:eastAsia="fr-FR"/>
        </w:rPr>
        <w:t xml:space="preserve"> </w:t>
      </w:r>
      <w:r>
        <w:rPr/>
        <w:t>Trois exemples de feuilles courantes</w:t>
      </w:r>
    </w:p>
    <w:p>
      <w:pPr>
        <w:pStyle w:val="Normal"/>
        <w:rPr/>
      </w:pPr>
      <w:r>
        <w:rPr>
          <w:lang w:eastAsia="fr-FR"/>
        </w:rPr>
        <w:t xml:space="preserve">  </w:t>
      </w:r>
      <w:r>
        <w:rPr/>
        <w:drawing>
          <wp:inline distT="0" distB="0" distL="0" distR="0">
            <wp:extent cx="1219200" cy="1625600"/>
            <wp:effectExtent l="0" t="0" r="0" b="0"/>
            <wp:docPr id="17"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8" descr=""/>
                    <pic:cNvPicPr>
                      <a:picLocks noChangeAspect="1" noChangeArrowheads="1"/>
                    </pic:cNvPicPr>
                  </pic:nvPicPr>
                  <pic:blipFill>
                    <a:blip r:embed="rId15"/>
                    <a:stretch>
                      <a:fillRect/>
                    </a:stretch>
                  </pic:blipFill>
                  <pic:spPr bwMode="auto">
                    <a:xfrm>
                      <a:off x="0" y="0"/>
                      <a:ext cx="1219200" cy="1625600"/>
                    </a:xfrm>
                    <a:prstGeom prst="rect">
                      <a:avLst/>
                    </a:prstGeom>
                  </pic:spPr>
                </pic:pic>
              </a:graphicData>
            </a:graphic>
          </wp:inline>
        </w:drawing>
      </w:r>
      <w:r>
        <w:rPr>
          <w:lang w:eastAsia="fr-FR"/>
        </w:rPr>
        <w:t xml:space="preserve">                       </w:t>
      </w:r>
      <w:r>
        <w:rPr/>
        <w:drawing>
          <wp:inline distT="0" distB="0" distL="0" distR="0">
            <wp:extent cx="1209675" cy="1612900"/>
            <wp:effectExtent l="0" t="0" r="0" b="0"/>
            <wp:docPr id="18"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 descr=""/>
                    <pic:cNvPicPr>
                      <a:picLocks noChangeAspect="1" noChangeArrowheads="1"/>
                    </pic:cNvPicPr>
                  </pic:nvPicPr>
                  <pic:blipFill>
                    <a:blip r:embed="rId16"/>
                    <a:stretch>
                      <a:fillRect/>
                    </a:stretch>
                  </pic:blipFill>
                  <pic:spPr bwMode="auto">
                    <a:xfrm>
                      <a:off x="0" y="0"/>
                      <a:ext cx="1209675" cy="1612900"/>
                    </a:xfrm>
                    <a:prstGeom prst="rect">
                      <a:avLst/>
                    </a:prstGeom>
                  </pic:spPr>
                </pic:pic>
              </a:graphicData>
            </a:graphic>
          </wp:inline>
        </w:drawing>
      </w:r>
      <w:r>
        <w:rPr>
          <w:lang w:eastAsia="fr-FR"/>
        </w:rPr>
        <w:t xml:space="preserve">                            </w:t>
      </w:r>
      <w:r>
        <w:rPr/>
        <w:drawing>
          <wp:inline distT="0" distB="0" distL="0" distR="0">
            <wp:extent cx="1209675" cy="1612900"/>
            <wp:effectExtent l="0" t="0" r="0" b="0"/>
            <wp:docPr id="19"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1" descr=""/>
                    <pic:cNvPicPr>
                      <a:picLocks noChangeAspect="1" noChangeArrowheads="1"/>
                    </pic:cNvPicPr>
                  </pic:nvPicPr>
                  <pic:blipFill>
                    <a:blip r:embed="rId17"/>
                    <a:stretch>
                      <a:fillRect/>
                    </a:stretch>
                  </pic:blipFill>
                  <pic:spPr bwMode="auto">
                    <a:xfrm>
                      <a:off x="0" y="0"/>
                      <a:ext cx="1209675" cy="1612900"/>
                    </a:xfrm>
                    <a:prstGeom prst="rect">
                      <a:avLst/>
                    </a:prstGeom>
                  </pic:spPr>
                </pic:pic>
              </a:graphicData>
            </a:graphic>
          </wp:inline>
        </w:drawing>
      </w:r>
    </w:p>
    <w:p>
      <w:pPr>
        <w:pStyle w:val="Normal"/>
        <w:rPr/>
      </w:pPr>
      <w:r>
        <w:rPr/>
        <w:t>Figure 8 : feuilles d’Hortensia (</w:t>
      </w:r>
      <w:r>
        <w:rPr>
          <w:i/>
        </w:rPr>
        <w:t>Hydrangea macrophylla</w:t>
      </w:r>
      <w:r>
        <w:rPr/>
        <w:t>), Figure 9 : feuille de Hêtre (</w:t>
      </w:r>
      <w:r>
        <w:rPr>
          <w:i/>
        </w:rPr>
        <w:t>Fagus sylvatica</w:t>
      </w:r>
      <w:r>
        <w:rPr/>
        <w:t>), Figure 10 : feuille d’Erable champêtre (</w:t>
      </w:r>
      <w:r>
        <w:rPr>
          <w:i/>
        </w:rPr>
        <w:t>Acer campestris</w:t>
      </w:r>
      <w:r>
        <w:rPr/>
        <w:t>)</w:t>
      </w:r>
    </w:p>
    <w:p>
      <w:pPr>
        <w:pStyle w:val="Normal"/>
        <w:spacing w:lineRule="auto" w:line="259" w:before="0" w:after="160"/>
        <w:jc w:val="left"/>
        <w:rPr>
          <w:b/>
          <w:b/>
          <w:lang w:eastAsia="fr-FR"/>
        </w:rPr>
      </w:pPr>
      <w:r>
        <w:rPr>
          <w:b/>
          <w:lang w:eastAsia="fr-FR"/>
        </w:rPr>
      </w:r>
      <w:r>
        <w:br w:type="page"/>
      </w:r>
    </w:p>
    <w:p>
      <w:pPr>
        <w:pStyle w:val="Normal"/>
        <w:rPr>
          <w:b/>
          <w:b/>
          <w:lang w:eastAsia="fr-FR"/>
        </w:rPr>
      </w:pPr>
      <w:r>
        <w:rPr>
          <w:b/>
          <w:lang w:eastAsia="fr-FR"/>
        </w:rPr>
        <w:t>2 - Couleurs des fleurs :</w:t>
      </w:r>
    </w:p>
    <w:p>
      <w:pPr>
        <w:sectPr>
          <w:type w:val="continuous"/>
          <w:pgSz w:w="11906" w:h="16838"/>
          <w:pgMar w:left="1417" w:right="1417" w:header="708" w:top="1417" w:footer="708" w:bottom="1417" w:gutter="0"/>
          <w:formProt w:val="false"/>
          <w:textDirection w:val="lrTb"/>
          <w:docGrid w:type="default" w:linePitch="360" w:charSpace="4096"/>
        </w:sectPr>
      </w:pPr>
    </w:p>
    <w:tbl>
      <w:tblPr>
        <w:tblStyle w:val="Grilledutableau"/>
        <w:tblW w:w="3369" w:type="dxa"/>
        <w:jc w:val="left"/>
        <w:tblInd w:w="0" w:type="dxa"/>
        <w:tblCellMar>
          <w:top w:w="0" w:type="dxa"/>
          <w:left w:w="108" w:type="dxa"/>
          <w:bottom w:w="0" w:type="dxa"/>
          <w:right w:w="108" w:type="dxa"/>
        </w:tblCellMar>
        <w:tblLook w:firstRow="1" w:noVBand="1" w:lastRow="0" w:firstColumn="1" w:lastColumn="0" w:noHBand="0" w:val="04a0"/>
      </w:tblPr>
      <w:tblGrid>
        <w:gridCol w:w="2234"/>
        <w:gridCol w:w="1134"/>
      </w:tblGrid>
      <w:tr>
        <w:trPr/>
        <w:tc>
          <w:tcPr>
            <w:tcW w:w="2234" w:type="dxa"/>
            <w:tcBorders/>
            <w:shd w:fill="auto" w:val="clear"/>
          </w:tcPr>
          <w:p>
            <w:pPr>
              <w:pStyle w:val="Normal"/>
              <w:spacing w:lineRule="auto" w:line="240" w:before="0" w:after="0"/>
              <w:rPr>
                <w:b/>
                <w:b/>
              </w:rPr>
            </w:pPr>
            <w:r>
              <w:rPr>
                <w:b/>
              </w:rPr>
              <w:t>Nombre de couleurs de fleurs</w:t>
            </w:r>
          </w:p>
        </w:tc>
        <w:tc>
          <w:tcPr>
            <w:tcW w:w="1134" w:type="dxa"/>
            <w:tcBorders/>
            <w:shd w:fill="auto" w:val="clear"/>
          </w:tcPr>
          <w:p>
            <w:pPr>
              <w:pStyle w:val="Normal"/>
              <w:spacing w:lineRule="auto" w:line="240" w:before="0" w:after="0"/>
              <w:rPr>
                <w:b/>
                <w:b/>
              </w:rPr>
            </w:pPr>
            <w:r>
              <w:rPr>
                <w:b/>
                <w:color w:val="FF0000"/>
              </w:rPr>
              <w:t>Score</w:t>
            </w:r>
          </w:p>
        </w:tc>
      </w:tr>
      <w:tr>
        <w:trPr/>
        <w:tc>
          <w:tcPr>
            <w:tcW w:w="2234" w:type="dxa"/>
            <w:tcBorders/>
            <w:shd w:fill="auto" w:val="clear"/>
          </w:tcPr>
          <w:p>
            <w:pPr>
              <w:pStyle w:val="Normal"/>
              <w:spacing w:lineRule="auto" w:line="240" w:before="0" w:after="0"/>
              <w:rPr/>
            </w:pPr>
            <w:r>
              <w:rPr/>
              <w:t>0</w:t>
            </w:r>
          </w:p>
        </w:tc>
        <w:tc>
          <w:tcPr>
            <w:tcW w:w="1134" w:type="dxa"/>
            <w:tcBorders/>
            <w:shd w:fill="auto" w:val="clear"/>
          </w:tcPr>
          <w:p>
            <w:pPr>
              <w:pStyle w:val="Normal"/>
              <w:spacing w:lineRule="auto" w:line="240" w:before="0" w:after="0"/>
              <w:rPr/>
            </w:pPr>
            <w:r>
              <w:rPr/>
              <w:t>0</w:t>
            </w:r>
          </w:p>
        </w:tc>
      </w:tr>
      <w:tr>
        <w:trPr/>
        <w:tc>
          <w:tcPr>
            <w:tcW w:w="2234" w:type="dxa"/>
            <w:tcBorders/>
            <w:shd w:fill="auto" w:val="clear"/>
          </w:tcPr>
          <w:p>
            <w:pPr>
              <w:pStyle w:val="Normal"/>
              <w:spacing w:lineRule="auto" w:line="240" w:before="0" w:after="0"/>
              <w:rPr/>
            </w:pPr>
            <w:r>
              <w:rPr/>
              <w:t>1</w:t>
            </w:r>
          </w:p>
        </w:tc>
        <w:tc>
          <w:tcPr>
            <w:tcW w:w="1134" w:type="dxa"/>
            <w:tcBorders/>
            <w:shd w:fill="auto" w:val="clear"/>
          </w:tcPr>
          <w:p>
            <w:pPr>
              <w:pStyle w:val="Normal"/>
              <w:spacing w:lineRule="auto" w:line="240" w:before="0" w:after="0"/>
              <w:rPr/>
            </w:pPr>
            <w:r>
              <w:rPr/>
              <w:t>1</w:t>
            </w:r>
          </w:p>
        </w:tc>
      </w:tr>
      <w:tr>
        <w:trPr/>
        <w:tc>
          <w:tcPr>
            <w:tcW w:w="2234" w:type="dxa"/>
            <w:tcBorders/>
            <w:shd w:fill="auto" w:val="clear"/>
          </w:tcPr>
          <w:p>
            <w:pPr>
              <w:pStyle w:val="Normal"/>
              <w:spacing w:lineRule="auto" w:line="240" w:before="0" w:after="0"/>
              <w:rPr/>
            </w:pPr>
            <w:r>
              <w:rPr/>
              <w:t>2</w:t>
            </w:r>
          </w:p>
        </w:tc>
        <w:tc>
          <w:tcPr>
            <w:tcW w:w="1134" w:type="dxa"/>
            <w:tcBorders/>
            <w:shd w:fill="auto" w:val="clear"/>
          </w:tcPr>
          <w:p>
            <w:pPr>
              <w:pStyle w:val="Normal"/>
              <w:spacing w:lineRule="auto" w:line="240" w:before="0" w:after="0"/>
              <w:rPr/>
            </w:pPr>
            <w:r>
              <w:rPr/>
              <w:t>2</w:t>
            </w:r>
          </w:p>
        </w:tc>
      </w:tr>
      <w:tr>
        <w:trPr/>
        <w:tc>
          <w:tcPr>
            <w:tcW w:w="2234" w:type="dxa"/>
            <w:tcBorders/>
            <w:shd w:fill="auto" w:val="clear"/>
          </w:tcPr>
          <w:p>
            <w:pPr>
              <w:pStyle w:val="Normal"/>
              <w:spacing w:lineRule="auto" w:line="240" w:before="0" w:after="0"/>
              <w:rPr/>
            </w:pPr>
            <w:r>
              <w:rPr/>
              <w:t>3</w:t>
            </w:r>
          </w:p>
        </w:tc>
        <w:tc>
          <w:tcPr>
            <w:tcW w:w="1134" w:type="dxa"/>
            <w:tcBorders/>
            <w:shd w:fill="auto" w:val="clear"/>
          </w:tcPr>
          <w:p>
            <w:pPr>
              <w:pStyle w:val="Normal"/>
              <w:spacing w:lineRule="auto" w:line="240" w:before="0" w:after="0"/>
              <w:rPr/>
            </w:pPr>
            <w:r>
              <w:rPr/>
              <w:t>3</w:t>
            </w:r>
          </w:p>
        </w:tc>
      </w:tr>
      <w:tr>
        <w:trPr/>
        <w:tc>
          <w:tcPr>
            <w:tcW w:w="2234" w:type="dxa"/>
            <w:tcBorders/>
            <w:shd w:fill="auto" w:val="clear"/>
          </w:tcPr>
          <w:p>
            <w:pPr>
              <w:pStyle w:val="Normal"/>
              <w:spacing w:lineRule="auto" w:line="240" w:before="0" w:after="0"/>
              <w:rPr/>
            </w:pPr>
            <w:r>
              <w:rPr/>
              <w:t>4 ou plus</w:t>
            </w:r>
          </w:p>
        </w:tc>
        <w:tc>
          <w:tcPr>
            <w:tcW w:w="1134" w:type="dxa"/>
            <w:tcBorders/>
            <w:shd w:fill="auto" w:val="clear"/>
          </w:tcPr>
          <w:p>
            <w:pPr>
              <w:pStyle w:val="Normal"/>
              <w:spacing w:lineRule="auto" w:line="240" w:before="0" w:after="0"/>
              <w:rPr/>
            </w:pPr>
            <w:r>
              <w:rPr/>
              <w:t>5</w:t>
            </w:r>
          </w:p>
        </w:tc>
      </w:tr>
    </w:tbl>
    <w:p>
      <w:pPr>
        <w:pStyle w:val="Normal"/>
        <w:rPr/>
      </w:pPr>
      <w:r>
        <w:rPr/>
      </w:r>
    </w:p>
    <w:p>
      <w:pPr>
        <w:pStyle w:val="Normal"/>
        <w:rPr/>
      </w:pPr>
      <w:r>
        <w:rPr/>
        <w:t>Score =</w:t>
      </w:r>
    </w:p>
    <w:p>
      <w:pPr>
        <w:pStyle w:val="Normal"/>
        <w:rPr/>
      </w:pPr>
      <w:r>
        <w:rPr/>
      </w:r>
    </w:p>
    <w:p>
      <w:pPr>
        <w:pStyle w:val="Normal"/>
        <w:rPr/>
      </w:pPr>
      <w:r>
        <w:rPr/>
      </w:r>
    </w:p>
    <w:p>
      <w:pPr>
        <w:pStyle w:val="Normal"/>
        <w:rPr/>
      </w:pPr>
      <w:r>
        <w:rPr/>
        <w:drawing>
          <wp:inline distT="0" distB="0" distL="0" distR="0">
            <wp:extent cx="2371090" cy="323850"/>
            <wp:effectExtent l="0" t="0" r="0" b="0"/>
            <wp:docPr id="20"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 descr=""/>
                    <pic:cNvPicPr>
                      <a:picLocks noChangeAspect="1" noChangeArrowheads="1"/>
                    </pic:cNvPicPr>
                  </pic:nvPicPr>
                  <pic:blipFill>
                    <a:blip r:embed="rId18"/>
                    <a:stretch>
                      <a:fillRect/>
                    </a:stretch>
                  </pic:blipFill>
                  <pic:spPr bwMode="auto">
                    <a:xfrm>
                      <a:off x="0" y="0"/>
                      <a:ext cx="2371090" cy="323850"/>
                    </a:xfrm>
                    <a:prstGeom prst="rect">
                      <a:avLst/>
                    </a:prstGeom>
                  </pic:spPr>
                </pic:pic>
              </a:graphicData>
            </a:graphic>
          </wp:inline>
        </w:drawing>
      </w:r>
    </w:p>
    <w:p>
      <w:pPr>
        <w:pStyle w:val="Normal"/>
        <w:rPr/>
      </w:pPr>
      <w: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Normal"/>
        <w:rPr/>
      </w:pPr>
      <w:r>
        <w:rPr/>
      </w:r>
    </w:p>
    <w:p>
      <w:pPr>
        <w:pStyle w:val="Normal"/>
        <w:rPr/>
      </w:pPr>
      <w:r>
        <w:rPr/>
        <w:t>Exemple de couleurs de fleurs courantes</w:t>
      </w:r>
    </w:p>
    <w:p>
      <w:pPr>
        <w:pStyle w:val="Normal"/>
        <w:rPr/>
      </w:pPr>
      <w:r>
        <w:rPr/>
        <w:drawing>
          <wp:inline distT="0" distB="0" distL="0" distR="0">
            <wp:extent cx="1407160" cy="1876425"/>
            <wp:effectExtent l="0" t="0" r="0" b="0"/>
            <wp:docPr id="21" name="Image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9" descr=""/>
                    <pic:cNvPicPr>
                      <a:picLocks noChangeAspect="1" noChangeArrowheads="1"/>
                    </pic:cNvPicPr>
                  </pic:nvPicPr>
                  <pic:blipFill>
                    <a:blip r:embed="rId19"/>
                    <a:stretch>
                      <a:fillRect/>
                    </a:stretch>
                  </pic:blipFill>
                  <pic:spPr bwMode="auto">
                    <a:xfrm flipH="1">
                      <a:off x="0" y="0"/>
                      <a:ext cx="1407160" cy="1876425"/>
                    </a:xfrm>
                    <a:prstGeom prst="rect">
                      <a:avLst/>
                    </a:prstGeom>
                  </pic:spPr>
                </pic:pic>
              </a:graphicData>
            </a:graphic>
          </wp:inline>
        </w:drawing>
      </w:r>
      <w:r>
        <w:rPr/>
        <w:t xml:space="preserve"> </w:t>
      </w:r>
      <w:r>
        <w:rPr/>
        <w:drawing>
          <wp:inline distT="0" distB="0" distL="0" distR="0">
            <wp:extent cx="1400175" cy="1867535"/>
            <wp:effectExtent l="0" t="0" r="0" b="0"/>
            <wp:docPr id="22" name="Image 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30" descr=""/>
                    <pic:cNvPicPr>
                      <a:picLocks noChangeAspect="1" noChangeArrowheads="1"/>
                    </pic:cNvPicPr>
                  </pic:nvPicPr>
                  <pic:blipFill>
                    <a:blip r:embed="rId20"/>
                    <a:stretch>
                      <a:fillRect/>
                    </a:stretch>
                  </pic:blipFill>
                  <pic:spPr bwMode="auto">
                    <a:xfrm>
                      <a:off x="0" y="0"/>
                      <a:ext cx="1400175" cy="1867535"/>
                    </a:xfrm>
                    <a:prstGeom prst="rect">
                      <a:avLst/>
                    </a:prstGeom>
                  </pic:spPr>
                </pic:pic>
              </a:graphicData>
            </a:graphic>
          </wp:inline>
        </w:drawing>
      </w:r>
      <w:r>
        <w:rPr/>
        <w:t xml:space="preserve"> </w:t>
      </w:r>
      <w:r>
        <w:rPr/>
        <w:drawing>
          <wp:inline distT="0" distB="0" distL="0" distR="0">
            <wp:extent cx="1381125" cy="1842135"/>
            <wp:effectExtent l="0" t="0" r="0" b="0"/>
            <wp:docPr id="23" name="Image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31" descr=""/>
                    <pic:cNvPicPr>
                      <a:picLocks noChangeAspect="1" noChangeArrowheads="1"/>
                    </pic:cNvPicPr>
                  </pic:nvPicPr>
                  <pic:blipFill>
                    <a:blip r:embed="rId21"/>
                    <a:stretch>
                      <a:fillRect/>
                    </a:stretch>
                  </pic:blipFill>
                  <pic:spPr bwMode="auto">
                    <a:xfrm>
                      <a:off x="0" y="0"/>
                      <a:ext cx="1381125" cy="1842135"/>
                    </a:xfrm>
                    <a:prstGeom prst="rect">
                      <a:avLst/>
                    </a:prstGeom>
                  </pic:spPr>
                </pic:pic>
              </a:graphicData>
            </a:graphic>
          </wp:inline>
        </w:drawing>
      </w:r>
      <w:r>
        <w:rPr/>
        <w:t xml:space="preserve">  </w:t>
      </w:r>
      <w:r>
        <w:rPr/>
        <w:drawing>
          <wp:inline distT="0" distB="0" distL="0" distR="0">
            <wp:extent cx="1392555" cy="1857375"/>
            <wp:effectExtent l="0" t="0" r="0" b="0"/>
            <wp:docPr id="24" name="Image 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32" descr=""/>
                    <pic:cNvPicPr>
                      <a:picLocks noChangeAspect="1" noChangeArrowheads="1"/>
                    </pic:cNvPicPr>
                  </pic:nvPicPr>
                  <pic:blipFill>
                    <a:blip r:embed="rId22"/>
                    <a:stretch>
                      <a:fillRect/>
                    </a:stretch>
                  </pic:blipFill>
                  <pic:spPr bwMode="auto">
                    <a:xfrm flipH="1">
                      <a:off x="0" y="0"/>
                      <a:ext cx="1392555" cy="1857375"/>
                    </a:xfrm>
                    <a:prstGeom prst="rect">
                      <a:avLst/>
                    </a:prstGeom>
                  </pic:spPr>
                </pic:pic>
              </a:graphicData>
            </a:graphic>
          </wp:inline>
        </w:drawing>
      </w:r>
    </w:p>
    <w:p>
      <w:pPr>
        <w:pStyle w:val="Normal"/>
        <w:rPr/>
      </w:pPr>
      <w:r>
        <w:rPr/>
        <w:drawing>
          <wp:inline distT="0" distB="0" distL="0" distR="0">
            <wp:extent cx="1748155" cy="1713865"/>
            <wp:effectExtent l="0" t="0" r="0" b="0"/>
            <wp:docPr id="25" name="Image 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33" descr=""/>
                    <pic:cNvPicPr>
                      <a:picLocks noChangeAspect="1" noChangeArrowheads="1"/>
                    </pic:cNvPicPr>
                  </pic:nvPicPr>
                  <pic:blipFill>
                    <a:blip r:embed="rId23"/>
                    <a:stretch>
                      <a:fillRect/>
                    </a:stretch>
                  </pic:blipFill>
                  <pic:spPr bwMode="auto">
                    <a:xfrm>
                      <a:off x="0" y="0"/>
                      <a:ext cx="1748155" cy="1713865"/>
                    </a:xfrm>
                    <a:prstGeom prst="rect">
                      <a:avLst/>
                    </a:prstGeom>
                  </pic:spPr>
                </pic:pic>
              </a:graphicData>
            </a:graphic>
          </wp:inline>
        </w:drawing>
      </w:r>
      <w:r>
        <w:rPr/>
        <w:t xml:space="preserve">  </w:t>
      </w:r>
      <w:r>
        <w:rPr/>
        <w:drawing>
          <wp:inline distT="0" distB="0" distL="0" distR="0">
            <wp:extent cx="1714500" cy="1714500"/>
            <wp:effectExtent l="0" t="0" r="0" b="0"/>
            <wp:docPr id="26" name="Image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34" descr=""/>
                    <pic:cNvPicPr>
                      <a:picLocks noChangeAspect="1" noChangeArrowheads="1"/>
                    </pic:cNvPicPr>
                  </pic:nvPicPr>
                  <pic:blipFill>
                    <a:blip r:embed="rId24"/>
                    <a:stretch>
                      <a:fillRect/>
                    </a:stretch>
                  </pic:blipFill>
                  <pic:spPr bwMode="auto">
                    <a:xfrm>
                      <a:off x="0" y="0"/>
                      <a:ext cx="1714500" cy="1714500"/>
                    </a:xfrm>
                    <a:prstGeom prst="rect">
                      <a:avLst/>
                    </a:prstGeom>
                  </pic:spPr>
                </pic:pic>
              </a:graphicData>
            </a:graphic>
          </wp:inline>
        </w:drawing>
      </w:r>
      <w:r>
        <w:rPr/>
        <w:t xml:space="preserve">  </w:t>
      </w:r>
      <w:r>
        <w:rPr/>
        <w:drawing>
          <wp:inline distT="0" distB="0" distL="0" distR="0">
            <wp:extent cx="2044700" cy="1695450"/>
            <wp:effectExtent l="0" t="0" r="0" b="0"/>
            <wp:docPr id="27" name="Image 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35" descr=""/>
                    <pic:cNvPicPr>
                      <a:picLocks noChangeAspect="1" noChangeArrowheads="1"/>
                    </pic:cNvPicPr>
                  </pic:nvPicPr>
                  <pic:blipFill>
                    <a:blip r:embed="rId25"/>
                    <a:stretch>
                      <a:fillRect/>
                    </a:stretch>
                  </pic:blipFill>
                  <pic:spPr bwMode="auto">
                    <a:xfrm>
                      <a:off x="0" y="0"/>
                      <a:ext cx="2044700" cy="1695450"/>
                    </a:xfrm>
                    <a:prstGeom prst="rect">
                      <a:avLst/>
                    </a:prstGeom>
                  </pic:spPr>
                </pic:pic>
              </a:graphicData>
            </a:graphic>
          </wp:inline>
        </w:drawing>
      </w:r>
    </w:p>
    <w:p>
      <w:pPr>
        <w:pStyle w:val="Normal"/>
        <w:rPr/>
      </w:pPr>
      <w:r>
        <w:rPr/>
        <w:t>Figure 11 : Fleurs blanches : Spirée de Van Houtte (</w:t>
      </w:r>
      <w:r>
        <w:rPr>
          <w:i/>
        </w:rPr>
        <w:t>Spirea Van Houttei</w:t>
      </w:r>
      <w:r>
        <w:rPr/>
        <w:t xml:space="preserve">) ; Fleurs rouges : </w:t>
      </w:r>
      <w:r>
        <w:rPr>
          <w:i/>
        </w:rPr>
        <w:t>Metrosideros Thomasii </w:t>
      </w:r>
      <w:r>
        <w:rPr/>
        <w:t>; Fleurs roses : Azalée du Japon (</w:t>
      </w:r>
      <w:r>
        <w:rPr>
          <w:i/>
        </w:rPr>
        <w:t>Azalea Japonica</w:t>
      </w:r>
      <w:r>
        <w:rPr/>
        <w:t>) ; Fleurs jaunes : Souci (</w:t>
      </w:r>
      <w:r>
        <w:rPr>
          <w:i/>
        </w:rPr>
        <w:t>Calendula officinalis</w:t>
      </w:r>
      <w:r>
        <w:rPr/>
        <w:t>) ; Fleurs vertes : Euphorbe (</w:t>
      </w:r>
      <w:r>
        <w:rPr>
          <w:i/>
        </w:rPr>
        <w:t>Euphorbia sp</w:t>
      </w:r>
      <w:r>
        <w:rPr/>
        <w:t>) ; Fleurs oranges : Giroflée (</w:t>
      </w:r>
      <w:r>
        <w:rPr>
          <w:i/>
        </w:rPr>
        <w:t>Erysimum chein</w:t>
      </w:r>
      <w:r>
        <w:rPr/>
        <w:t>) ; Fleurs bleues : Crocus (</w:t>
      </w:r>
      <w:r>
        <w:rPr>
          <w:i/>
        </w:rPr>
        <w:t>Crocus sp</w:t>
      </w:r>
      <w:r>
        <w:rPr/>
        <w:t>)</w:t>
      </w:r>
    </w:p>
    <w:p>
      <w:pPr>
        <w:pStyle w:val="Normal"/>
        <w:rPr/>
      </w:pPr>
      <w:r>
        <w:rPr/>
      </w:r>
    </w:p>
    <w:p>
      <w:pPr>
        <w:pStyle w:val="Titre3"/>
        <w:numPr>
          <w:ilvl w:val="2"/>
          <w:numId w:val="2"/>
        </w:numPr>
        <w:rPr/>
      </w:pPr>
      <w:bookmarkStart w:id="12" w:name="_Toc33726974"/>
      <w:r>
        <w:rPr/>
        <w:t>Clôtures, murs et haies</w:t>
      </w:r>
      <w:bookmarkEnd w:id="12"/>
    </w:p>
    <w:p>
      <w:pPr>
        <w:pStyle w:val="Normal"/>
        <w:rPr/>
      </w:pPr>
      <w:r>
        <w:rPr/>
        <w:t xml:space="preserve">Les clôtures et les murs s’ils sont végétalisés ou s’ils sont en pierres servent de refuges, de lieux de nidification et de ressources. Tous ces éléments sont donc positifs pour la biodiversité potentielle. </w:t>
      </w:r>
    </w:p>
    <w:p>
      <w:pPr>
        <w:pStyle w:val="Normal"/>
        <w:rPr>
          <w:b/>
          <w:b/>
        </w:rPr>
      </w:pPr>
      <w:r>
        <w:rPr>
          <w:b/>
        </w:rPr>
      </w:r>
    </w:p>
    <w:p>
      <w:pPr>
        <w:sectPr>
          <w:type w:val="continuous"/>
          <w:pgSz w:w="11906" w:h="16838"/>
          <w:pgMar w:left="1417" w:right="1417" w:header="708" w:top="1417" w:footer="708" w:bottom="1417" w:gutter="0"/>
          <w:formProt w:val="false"/>
          <w:textDirection w:val="lrTb"/>
          <w:docGrid w:type="default" w:linePitch="360" w:charSpace="4096"/>
        </w:sectPr>
      </w:pPr>
    </w:p>
    <w:tbl>
      <w:tblPr>
        <w:tblStyle w:val="Grilledutableau"/>
        <w:tblW w:w="4172" w:type="dxa"/>
        <w:jc w:val="left"/>
        <w:tblInd w:w="0" w:type="dxa"/>
        <w:tblCellMar>
          <w:top w:w="0" w:type="dxa"/>
          <w:left w:w="108" w:type="dxa"/>
          <w:bottom w:w="0" w:type="dxa"/>
          <w:right w:w="108" w:type="dxa"/>
        </w:tblCellMar>
        <w:tblLook w:firstRow="1" w:noVBand="1" w:lastRow="0" w:firstColumn="1" w:lastColumn="0" w:noHBand="0" w:val="04a0"/>
      </w:tblPr>
      <w:tblGrid>
        <w:gridCol w:w="2940"/>
        <w:gridCol w:w="1231"/>
      </w:tblGrid>
      <w:tr>
        <w:trPr/>
        <w:tc>
          <w:tcPr>
            <w:tcW w:w="2940" w:type="dxa"/>
            <w:tcBorders/>
            <w:shd w:fill="auto" w:val="clear"/>
          </w:tcPr>
          <w:p>
            <w:pPr>
              <w:pStyle w:val="Normal"/>
              <w:spacing w:lineRule="auto" w:line="240" w:before="0" w:after="0"/>
              <w:rPr>
                <w:b/>
                <w:b/>
              </w:rPr>
            </w:pPr>
            <w:r>
              <w:rPr>
                <w:b/>
              </w:rPr>
              <w:t>Clôture ou mur</w:t>
            </w:r>
          </w:p>
        </w:tc>
        <w:tc>
          <w:tcPr>
            <w:tcW w:w="1231" w:type="dxa"/>
            <w:tcBorders/>
            <w:shd w:fill="auto" w:val="clear"/>
          </w:tcPr>
          <w:p>
            <w:pPr>
              <w:pStyle w:val="Normal"/>
              <w:spacing w:lineRule="auto" w:line="240" w:before="0" w:after="0"/>
              <w:rPr>
                <w:b/>
                <w:b/>
              </w:rPr>
            </w:pPr>
            <w:r>
              <w:rPr>
                <w:b/>
                <w:color w:val="FF0000"/>
              </w:rPr>
              <w:t>Score</w:t>
            </w:r>
          </w:p>
        </w:tc>
      </w:tr>
      <w:tr>
        <w:trPr/>
        <w:tc>
          <w:tcPr>
            <w:tcW w:w="2940" w:type="dxa"/>
            <w:tcBorders/>
            <w:shd w:fill="auto" w:val="clear"/>
          </w:tcPr>
          <w:p>
            <w:pPr>
              <w:pStyle w:val="Normal"/>
              <w:spacing w:lineRule="auto" w:line="240" w:before="0" w:after="0"/>
              <w:rPr/>
            </w:pPr>
            <w:r>
              <w:rPr/>
              <w:t>Milieu isolé (clôture sans végétation, grillage, mur lisse …)</w:t>
            </w:r>
          </w:p>
        </w:tc>
        <w:tc>
          <w:tcPr>
            <w:tcW w:w="1231" w:type="dxa"/>
            <w:tcBorders/>
            <w:shd w:fill="auto" w:val="clear"/>
          </w:tcPr>
          <w:p>
            <w:pPr>
              <w:pStyle w:val="Normal"/>
              <w:spacing w:lineRule="auto" w:line="240" w:before="0" w:after="0"/>
              <w:rPr/>
            </w:pPr>
            <w:r>
              <w:rPr/>
              <w:t>0</w:t>
            </w:r>
          </w:p>
        </w:tc>
      </w:tr>
      <w:tr>
        <w:trPr/>
        <w:tc>
          <w:tcPr>
            <w:tcW w:w="2940" w:type="dxa"/>
            <w:tcBorders/>
            <w:shd w:fill="auto" w:val="clear"/>
          </w:tcPr>
          <w:p>
            <w:pPr>
              <w:pStyle w:val="Normal"/>
              <w:spacing w:lineRule="auto" w:line="240" w:before="0" w:after="0"/>
              <w:rPr/>
            </w:pPr>
            <w:r>
              <w:rPr/>
              <w:t>Clôture végétalisée ou mur avec anfractuosités (Fig. 12 et 13)</w:t>
            </w:r>
          </w:p>
          <w:p>
            <w:pPr>
              <w:pStyle w:val="Normal"/>
              <w:spacing w:lineRule="auto" w:line="240" w:before="0" w:after="0"/>
              <w:rPr/>
            </w:pPr>
            <w:r>
              <w:rPr/>
              <w:t>Si &gt; 1 espèce</w:t>
            </w:r>
          </w:p>
        </w:tc>
        <w:tc>
          <w:tcPr>
            <w:tcW w:w="1231" w:type="dxa"/>
            <w:tcBorders/>
            <w:shd w:fill="auto" w:val="clear"/>
          </w:tcPr>
          <w:p>
            <w:pPr>
              <w:pStyle w:val="Normal"/>
              <w:spacing w:lineRule="auto" w:line="240" w:before="0" w:after="0"/>
              <w:rPr/>
            </w:pPr>
            <w:r>
              <w:rPr/>
              <w:t>1</w:t>
            </w:r>
          </w:p>
          <w:p>
            <w:pPr>
              <w:pStyle w:val="Normal"/>
              <w:spacing w:lineRule="auto" w:line="240" w:before="0" w:after="0"/>
              <w:rPr/>
            </w:pPr>
            <w:r>
              <w:rPr/>
            </w:r>
          </w:p>
          <w:p>
            <w:pPr>
              <w:pStyle w:val="Normal"/>
              <w:spacing w:lineRule="auto" w:line="240" w:before="0" w:after="0"/>
              <w:rPr/>
            </w:pPr>
            <w:r>
              <w:rPr/>
              <w:t>3</w:t>
            </w:r>
          </w:p>
        </w:tc>
      </w:tr>
      <w:tr>
        <w:trPr/>
        <w:tc>
          <w:tcPr>
            <w:tcW w:w="2940" w:type="dxa"/>
            <w:tcBorders/>
            <w:shd w:fill="auto" w:val="clear"/>
          </w:tcPr>
          <w:p>
            <w:pPr>
              <w:pStyle w:val="Normal"/>
              <w:spacing w:lineRule="auto" w:line="240" w:before="0" w:after="0"/>
              <w:rPr/>
            </w:pPr>
            <w:r>
              <w:rPr/>
              <w:t>Pas de clôture mais végétation en continue (Fig. 13)</w:t>
            </w:r>
          </w:p>
        </w:tc>
        <w:tc>
          <w:tcPr>
            <w:tcW w:w="1231" w:type="dxa"/>
            <w:tcBorders/>
            <w:shd w:fill="auto" w:val="clear"/>
          </w:tcPr>
          <w:p>
            <w:pPr>
              <w:pStyle w:val="Normal"/>
              <w:spacing w:lineRule="auto" w:line="240" w:before="0" w:after="0"/>
              <w:rPr/>
            </w:pPr>
            <w:r>
              <w:rPr/>
              <w:t>4</w:t>
            </w:r>
          </w:p>
        </w:tc>
      </w:tr>
      <w:tr>
        <w:trPr/>
        <w:tc>
          <w:tcPr>
            <w:tcW w:w="2940" w:type="dxa"/>
            <w:tcBorders/>
            <w:shd w:fill="auto" w:val="clear"/>
          </w:tcPr>
          <w:p>
            <w:pPr>
              <w:pStyle w:val="Normal"/>
              <w:spacing w:lineRule="auto" w:line="240" w:before="0" w:after="0"/>
              <w:rPr/>
            </w:pPr>
            <w:r>
              <w:rPr/>
              <w:t>Haie végétale complexe (Fig. 13)</w:t>
            </w:r>
          </w:p>
        </w:tc>
        <w:tc>
          <w:tcPr>
            <w:tcW w:w="1231" w:type="dxa"/>
            <w:tcBorders/>
            <w:shd w:fill="auto" w:val="clear"/>
          </w:tcPr>
          <w:p>
            <w:pPr>
              <w:pStyle w:val="Normal"/>
              <w:spacing w:lineRule="auto" w:line="240" w:before="0" w:after="0"/>
              <w:rPr/>
            </w:pPr>
            <w:r>
              <w:rPr/>
              <w:t>5</w:t>
            </w:r>
          </w:p>
        </w:tc>
      </w:tr>
    </w:tbl>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t xml:space="preserve">Score = </w:t>
      </w:r>
    </w:p>
    <w:p>
      <w:pPr>
        <w:pStyle w:val="Normal"/>
        <w:rPr/>
      </w:pPr>
      <w: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Normal"/>
        <w:rPr/>
      </w:pPr>
      <w:r>
        <w:rPr/>
      </w:r>
    </w:p>
    <w:p>
      <w:pPr>
        <w:pStyle w:val="Normal"/>
        <w:rPr/>
      </w:pPr>
      <w:r>
        <w:rPr/>
        <w:t>Exemple de murs</w:t>
      </w:r>
    </w:p>
    <w:p>
      <w:pPr>
        <w:pStyle w:val="Normal"/>
        <w:rPr/>
      </w:pPr>
      <w:r>
        <w:rPr/>
        <w:drawing>
          <wp:inline distT="0" distB="0" distL="0" distR="0">
            <wp:extent cx="1336040" cy="1781175"/>
            <wp:effectExtent l="0" t="0" r="0" b="0"/>
            <wp:docPr id="28"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3" descr=""/>
                    <pic:cNvPicPr>
                      <a:picLocks noChangeAspect="1" noChangeArrowheads="1"/>
                    </pic:cNvPicPr>
                  </pic:nvPicPr>
                  <pic:blipFill>
                    <a:blip r:embed="rId26"/>
                    <a:stretch>
                      <a:fillRect/>
                    </a:stretch>
                  </pic:blipFill>
                  <pic:spPr bwMode="auto">
                    <a:xfrm>
                      <a:off x="0" y="0"/>
                      <a:ext cx="1336040" cy="1781175"/>
                    </a:xfrm>
                    <a:prstGeom prst="rect">
                      <a:avLst/>
                    </a:prstGeom>
                  </pic:spPr>
                </pic:pic>
              </a:graphicData>
            </a:graphic>
          </wp:inline>
        </w:drawing>
      </w:r>
      <w:r>
        <w:rPr/>
        <w:t xml:space="preserve"> </w:t>
      </w:r>
      <w:r>
        <w:rPr/>
        <w:drawing>
          <wp:inline distT="0" distB="0" distL="0" distR="0">
            <wp:extent cx="1567180" cy="1175385"/>
            <wp:effectExtent l="0" t="0" r="0" b="0"/>
            <wp:docPr id="29" name="Image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37" descr=""/>
                    <pic:cNvPicPr>
                      <a:picLocks noChangeAspect="1" noChangeArrowheads="1"/>
                    </pic:cNvPicPr>
                  </pic:nvPicPr>
                  <pic:blipFill>
                    <a:blip r:embed="rId27"/>
                    <a:stretch>
                      <a:fillRect/>
                    </a:stretch>
                  </pic:blipFill>
                  <pic:spPr bwMode="auto">
                    <a:xfrm>
                      <a:off x="0" y="0"/>
                      <a:ext cx="1567180" cy="1175385"/>
                    </a:xfrm>
                    <a:prstGeom prst="rect">
                      <a:avLst/>
                    </a:prstGeom>
                  </pic:spPr>
                </pic:pic>
              </a:graphicData>
            </a:graphic>
          </wp:inline>
        </w:drawing>
      </w:r>
      <w:r>
        <w:rPr/>
        <w:t xml:space="preserve"> </w:t>
      </w:r>
      <w:r>
        <w:rPr/>
        <w:drawing>
          <wp:inline distT="0" distB="0" distL="0" distR="0">
            <wp:extent cx="1207135" cy="1609725"/>
            <wp:effectExtent l="0" t="0" r="0" b="0"/>
            <wp:docPr id="30" name="Image 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8" descr=""/>
                    <pic:cNvPicPr>
                      <a:picLocks noChangeAspect="1" noChangeArrowheads="1"/>
                    </pic:cNvPicPr>
                  </pic:nvPicPr>
                  <pic:blipFill>
                    <a:blip r:embed="rId28"/>
                    <a:stretch>
                      <a:fillRect/>
                    </a:stretch>
                  </pic:blipFill>
                  <pic:spPr bwMode="auto">
                    <a:xfrm flipH="1">
                      <a:off x="0" y="0"/>
                      <a:ext cx="1207135" cy="1609725"/>
                    </a:xfrm>
                    <a:prstGeom prst="rect">
                      <a:avLst/>
                    </a:prstGeom>
                  </pic:spPr>
                </pic:pic>
              </a:graphicData>
            </a:graphic>
          </wp:inline>
        </w:drawing>
      </w:r>
      <w:r>
        <w:rPr/>
        <w:t xml:space="preserve">  </w:t>
      </w:r>
      <w:r>
        <w:rPr/>
        <w:drawing>
          <wp:inline distT="0" distB="0" distL="0" distR="0">
            <wp:extent cx="1514475" cy="1136015"/>
            <wp:effectExtent l="0" t="0" r="0" b="0"/>
            <wp:docPr id="31" name="Image 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9" descr=""/>
                    <pic:cNvPicPr>
                      <a:picLocks noChangeAspect="1" noChangeArrowheads="1"/>
                    </pic:cNvPicPr>
                  </pic:nvPicPr>
                  <pic:blipFill>
                    <a:blip r:embed="rId29"/>
                    <a:stretch>
                      <a:fillRect/>
                    </a:stretch>
                  </pic:blipFill>
                  <pic:spPr bwMode="auto">
                    <a:xfrm>
                      <a:off x="0" y="0"/>
                      <a:ext cx="1514475" cy="1136015"/>
                    </a:xfrm>
                    <a:prstGeom prst="rect">
                      <a:avLst/>
                    </a:prstGeom>
                  </pic:spPr>
                </pic:pic>
              </a:graphicData>
            </a:graphic>
          </wp:inline>
        </w:drawing>
      </w:r>
    </w:p>
    <w:p>
      <w:pPr>
        <w:pStyle w:val="Normal"/>
        <w:rPr/>
      </w:pPr>
      <w:r>
        <w:rPr/>
        <w:t>Figure 12 : Mur avec anfractuosités, aménagement récent ; Figure 13 : Mur avec anfractuosités, aménagement ancien ; Figure 14 : Haie végétale ; Figure 15 : Végétation en continue, plus ou moins spontanée le long de la voie ferrée.</w:t>
      </w:r>
    </w:p>
    <w:p>
      <w:pPr>
        <w:pStyle w:val="Normal"/>
        <w:rPr/>
      </w:pPr>
      <w:r>
        <w:rPr/>
      </w:r>
    </w:p>
    <w:p>
      <w:pPr>
        <w:pStyle w:val="Titre3"/>
        <w:numPr>
          <w:ilvl w:val="2"/>
          <w:numId w:val="2"/>
        </w:numPr>
        <w:rPr/>
      </w:pPr>
      <w:bookmarkStart w:id="13" w:name="_Toc33726975"/>
      <w:r>
        <w:rPr/>
        <w:t>Espèces exotiques envahissantes</w:t>
      </w:r>
      <w:bookmarkEnd w:id="13"/>
    </w:p>
    <w:p>
      <w:pPr>
        <w:pStyle w:val="Normal"/>
        <w:rPr/>
      </w:pPr>
      <w:r>
        <w:rPr/>
        <w:t xml:space="preserve">Ces espèces sont défavorables à la biodiversité lorsqu’elles sont fortement compétitrices et empêchent le développement d’une flore et/ou d’une faune diversifiée et locale. Les espèces exotiques invasives sont la deuxième cause de perte de biodiversité dans le monde. Voici quelques espèces bien connues en Ile-de-France telles que : </w:t>
      </w:r>
    </w:p>
    <w:p>
      <w:pPr>
        <w:pStyle w:val="Puces"/>
        <w:numPr>
          <w:ilvl w:val="6"/>
          <w:numId w:val="3"/>
        </w:numPr>
        <w:spacing w:lineRule="auto" w:line="240"/>
        <w:ind w:left="284" w:hanging="284"/>
        <w:jc w:val="left"/>
        <w:rPr/>
      </w:pPr>
      <w:r>
        <w:rPr/>
        <w:t>Ailante glanduleux (</w:t>
      </w:r>
      <w:r>
        <w:rPr>
          <w:i/>
        </w:rPr>
        <w:t>Ailanthus altissima</w:t>
      </w:r>
      <w:r>
        <w:rPr/>
        <w:t>) (Fig. 16)</w:t>
      </w:r>
    </w:p>
    <w:p>
      <w:pPr>
        <w:pStyle w:val="Puces"/>
        <w:numPr>
          <w:ilvl w:val="6"/>
          <w:numId w:val="3"/>
        </w:numPr>
        <w:spacing w:lineRule="auto" w:line="240"/>
        <w:ind w:left="284" w:hanging="284"/>
        <w:jc w:val="left"/>
        <w:rPr>
          <w:lang w:val="en-GB"/>
        </w:rPr>
      </w:pPr>
      <w:r>
        <w:rPr>
          <w:lang w:val="en-GB"/>
        </w:rPr>
        <w:t>Buddleia de David (</w:t>
      </w:r>
      <w:r>
        <w:rPr>
          <w:i/>
          <w:lang w:val="en-GB"/>
        </w:rPr>
        <w:t>Buddleja davidii</w:t>
      </w:r>
      <w:r>
        <w:rPr>
          <w:lang w:val="en-GB"/>
        </w:rPr>
        <w:t>) (Fig. 17)</w:t>
      </w:r>
    </w:p>
    <w:p>
      <w:pPr>
        <w:pStyle w:val="Puces"/>
        <w:numPr>
          <w:ilvl w:val="6"/>
          <w:numId w:val="3"/>
        </w:numPr>
        <w:spacing w:lineRule="auto" w:line="240"/>
        <w:ind w:left="284" w:hanging="284"/>
        <w:jc w:val="left"/>
        <w:rPr>
          <w:lang w:val="en-GB"/>
        </w:rPr>
      </w:pPr>
      <w:r>
        <w:rPr>
          <w:lang w:val="en-GB"/>
        </w:rPr>
        <w:t>Raisin d’Amérique (</w:t>
      </w:r>
      <w:r>
        <w:rPr>
          <w:i/>
          <w:lang w:val="en-GB"/>
        </w:rPr>
        <w:t>Phytolacca americana</w:t>
      </w:r>
      <w:r>
        <w:rPr>
          <w:lang w:val="en-GB"/>
        </w:rPr>
        <w:t>) (Fig. 18)</w:t>
      </w:r>
    </w:p>
    <w:p>
      <w:pPr>
        <w:pStyle w:val="Puces"/>
        <w:numPr>
          <w:ilvl w:val="6"/>
          <w:numId w:val="3"/>
        </w:numPr>
        <w:spacing w:lineRule="auto" w:line="240"/>
        <w:ind w:left="284" w:hanging="284"/>
        <w:jc w:val="left"/>
        <w:rPr/>
      </w:pPr>
      <w:r>
        <w:rPr/>
        <w:t>Renouée du Japon (</w:t>
      </w:r>
      <w:r>
        <w:rPr>
          <w:i/>
        </w:rPr>
        <w:t>Reynoutria japonica</w:t>
      </w:r>
      <w:r>
        <w:rPr/>
        <w:t>) (Fig. 19)</w:t>
      </w:r>
    </w:p>
    <w:p>
      <w:pPr>
        <w:pStyle w:val="Puces"/>
        <w:numPr>
          <w:ilvl w:val="6"/>
          <w:numId w:val="3"/>
        </w:numPr>
        <w:spacing w:lineRule="auto" w:line="240"/>
        <w:ind w:left="284" w:hanging="284"/>
        <w:jc w:val="left"/>
        <w:rPr>
          <w:lang w:val="it-IT"/>
        </w:rPr>
      </w:pPr>
      <w:r>
        <w:rPr>
          <w:lang w:val="it-IT"/>
        </w:rPr>
        <w:t>Robinier faux-acacia (</w:t>
      </w:r>
      <w:r>
        <w:rPr>
          <w:i/>
          <w:lang w:val="it-IT"/>
        </w:rPr>
        <w:t>Robinia pseudoacacia</w:t>
      </w:r>
      <w:r>
        <w:rPr>
          <w:lang w:val="it-IT"/>
        </w:rPr>
        <w:t>) (Fig. 20)</w:t>
      </w:r>
    </w:p>
    <w:p>
      <w:pPr>
        <w:pStyle w:val="Puces"/>
        <w:numPr>
          <w:ilvl w:val="6"/>
          <w:numId w:val="3"/>
        </w:numPr>
        <w:spacing w:lineRule="auto" w:line="240"/>
        <w:ind w:left="284" w:hanging="284"/>
        <w:jc w:val="left"/>
        <w:rPr/>
      </w:pPr>
      <w:r>
        <w:rPr/>
        <w:t>Séneçon du Cap (</w:t>
      </w:r>
      <w:r>
        <w:rPr>
          <w:i/>
        </w:rPr>
        <w:t>Senlecio inaequidens</w:t>
      </w:r>
      <w:r>
        <w:rPr/>
        <w:t>) (Fig. 21)</w:t>
      </w:r>
    </w:p>
    <w:p>
      <w:pPr>
        <w:pStyle w:val="Puces"/>
        <w:numPr>
          <w:ilvl w:val="0"/>
          <w:numId w:val="0"/>
        </w:numPr>
        <w:spacing w:lineRule="auto" w:line="240"/>
        <w:ind w:left="284" w:hanging="284"/>
        <w:jc w:val="left"/>
        <w:rPr/>
      </w:pPr>
      <w:r>
        <w:rPr/>
      </w:r>
    </w:p>
    <w:p>
      <w:pPr>
        <w:pStyle w:val="Normal"/>
        <w:rPr/>
      </w:pPr>
      <w:r>
        <w:rPr/>
        <w:drawing>
          <wp:inline distT="0" distB="0" distL="0" distR="0">
            <wp:extent cx="1552575" cy="1139825"/>
            <wp:effectExtent l="0" t="0" r="0" b="0"/>
            <wp:docPr id="32" name="Image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40" descr=""/>
                    <pic:cNvPicPr>
                      <a:picLocks noChangeAspect="1" noChangeArrowheads="1"/>
                    </pic:cNvPicPr>
                  </pic:nvPicPr>
                  <pic:blipFill>
                    <a:blip r:embed="rId30"/>
                    <a:stretch>
                      <a:fillRect/>
                    </a:stretch>
                  </pic:blipFill>
                  <pic:spPr bwMode="auto">
                    <a:xfrm>
                      <a:off x="0" y="0"/>
                      <a:ext cx="1552575" cy="1139825"/>
                    </a:xfrm>
                    <a:prstGeom prst="rect">
                      <a:avLst/>
                    </a:prstGeom>
                  </pic:spPr>
                </pic:pic>
              </a:graphicData>
            </a:graphic>
          </wp:inline>
        </w:drawing>
      </w:r>
      <w:r>
        <w:rPr/>
        <w:t xml:space="preserve">Fig.16 </w:t>
      </w:r>
      <w:r>
        <w:rPr/>
        <w:drawing>
          <wp:inline distT="0" distB="0" distL="0" distR="0">
            <wp:extent cx="1438275" cy="1111885"/>
            <wp:effectExtent l="0" t="0" r="0" b="0"/>
            <wp:docPr id="33" name="Image 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41" descr=""/>
                    <pic:cNvPicPr>
                      <a:picLocks noChangeAspect="1" noChangeArrowheads="1"/>
                    </pic:cNvPicPr>
                  </pic:nvPicPr>
                  <pic:blipFill>
                    <a:blip r:embed="rId31"/>
                    <a:stretch>
                      <a:fillRect/>
                    </a:stretch>
                  </pic:blipFill>
                  <pic:spPr bwMode="auto">
                    <a:xfrm>
                      <a:off x="0" y="0"/>
                      <a:ext cx="1438275" cy="1111885"/>
                    </a:xfrm>
                    <a:prstGeom prst="rect">
                      <a:avLst/>
                    </a:prstGeom>
                  </pic:spPr>
                </pic:pic>
              </a:graphicData>
            </a:graphic>
          </wp:inline>
        </w:drawing>
      </w:r>
      <w:r>
        <w:rPr/>
        <w:t xml:space="preserve">Fig.17 </w:t>
      </w:r>
      <w:r>
        <w:rPr/>
        <w:drawing>
          <wp:inline distT="0" distB="0" distL="0" distR="0">
            <wp:extent cx="1552575" cy="1181100"/>
            <wp:effectExtent l="0" t="0" r="0" b="0"/>
            <wp:docPr id="34" name="Image 4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 42" descr=""/>
                    <pic:cNvPicPr>
                      <a:picLocks noChangeAspect="1" noChangeArrowheads="1"/>
                    </pic:cNvPicPr>
                  </pic:nvPicPr>
                  <pic:blipFill>
                    <a:blip r:embed="rId32"/>
                    <a:stretch>
                      <a:fillRect/>
                    </a:stretch>
                  </pic:blipFill>
                  <pic:spPr bwMode="auto">
                    <a:xfrm>
                      <a:off x="0" y="0"/>
                      <a:ext cx="1552575" cy="1181100"/>
                    </a:xfrm>
                    <a:prstGeom prst="rect">
                      <a:avLst/>
                    </a:prstGeom>
                  </pic:spPr>
                </pic:pic>
              </a:graphicData>
            </a:graphic>
          </wp:inline>
        </w:drawing>
      </w:r>
      <w:r>
        <w:rPr/>
        <w:t xml:space="preserve"> Fig.18</w:t>
      </w:r>
      <w:r>
        <w:rPr/>
        <w:drawing>
          <wp:inline distT="0" distB="0" distL="0" distR="0">
            <wp:extent cx="1362075" cy="1160145"/>
            <wp:effectExtent l="0" t="0" r="0" b="0"/>
            <wp:docPr id="35" name="Image 4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 43" descr=""/>
                    <pic:cNvPicPr>
                      <a:picLocks noChangeAspect="1" noChangeArrowheads="1"/>
                    </pic:cNvPicPr>
                  </pic:nvPicPr>
                  <pic:blipFill>
                    <a:blip r:embed="rId33"/>
                    <a:stretch>
                      <a:fillRect/>
                    </a:stretch>
                  </pic:blipFill>
                  <pic:spPr bwMode="auto">
                    <a:xfrm>
                      <a:off x="0" y="0"/>
                      <a:ext cx="1362075" cy="1160145"/>
                    </a:xfrm>
                    <a:prstGeom prst="rect">
                      <a:avLst/>
                    </a:prstGeom>
                  </pic:spPr>
                </pic:pic>
              </a:graphicData>
            </a:graphic>
          </wp:inline>
        </w:drawing>
      </w:r>
      <w:r>
        <w:rPr/>
        <w:t xml:space="preserve">  Fig. 19        </w:t>
      </w:r>
      <w:r>
        <w:rPr/>
        <w:drawing>
          <wp:inline distT="0" distB="0" distL="0" distR="0">
            <wp:extent cx="1038225" cy="1333500"/>
            <wp:effectExtent l="0" t="0" r="0" b="0"/>
            <wp:docPr id="36" name="Image 4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 45" descr=""/>
                    <pic:cNvPicPr>
                      <a:picLocks noChangeAspect="1" noChangeArrowheads="1"/>
                    </pic:cNvPicPr>
                  </pic:nvPicPr>
                  <pic:blipFill>
                    <a:blip r:embed="rId34"/>
                    <a:stretch>
                      <a:fillRect/>
                    </a:stretch>
                  </pic:blipFill>
                  <pic:spPr bwMode="auto">
                    <a:xfrm>
                      <a:off x="0" y="0"/>
                      <a:ext cx="1038225" cy="1333500"/>
                    </a:xfrm>
                    <a:prstGeom prst="rect">
                      <a:avLst/>
                    </a:prstGeom>
                  </pic:spPr>
                </pic:pic>
              </a:graphicData>
            </a:graphic>
          </wp:inline>
        </w:drawing>
      </w:r>
      <w:r>
        <w:rPr/>
        <w:t xml:space="preserve">  Fig.20    </w:t>
      </w:r>
      <w:r>
        <w:rPr/>
        <w:drawing>
          <wp:inline distT="0" distB="0" distL="0" distR="0">
            <wp:extent cx="1619250" cy="1295400"/>
            <wp:effectExtent l="0" t="0" r="0" b="0"/>
            <wp:docPr id="37" name="Image 4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 44" descr=""/>
                    <pic:cNvPicPr>
                      <a:picLocks noChangeAspect="1" noChangeArrowheads="1"/>
                    </pic:cNvPicPr>
                  </pic:nvPicPr>
                  <pic:blipFill>
                    <a:blip r:embed="rId35"/>
                    <a:stretch>
                      <a:fillRect/>
                    </a:stretch>
                  </pic:blipFill>
                  <pic:spPr bwMode="auto">
                    <a:xfrm>
                      <a:off x="0" y="0"/>
                      <a:ext cx="1619250" cy="1295400"/>
                    </a:xfrm>
                    <a:prstGeom prst="rect">
                      <a:avLst/>
                    </a:prstGeom>
                  </pic:spPr>
                </pic:pic>
              </a:graphicData>
            </a:graphic>
          </wp:inline>
        </w:drawing>
      </w:r>
      <w:r>
        <w:rPr/>
        <w:t xml:space="preserve"> Fig.21</w:t>
      </w:r>
    </w:p>
    <w:p>
      <w:pPr>
        <w:pStyle w:val="Normal"/>
        <w:rPr>
          <w:b/>
          <w:b/>
        </w:rPr>
      </w:pPr>
      <w:r>
        <w:rPr>
          <w:b/>
        </w:rPr>
      </w:r>
    </w:p>
    <w:p>
      <w:pPr>
        <w:sectPr>
          <w:type w:val="continuous"/>
          <w:pgSz w:w="11906" w:h="16838"/>
          <w:pgMar w:left="1417" w:right="1417" w:header="708" w:top="1417" w:footer="708" w:bottom="1417" w:gutter="0"/>
          <w:formProt w:val="false"/>
          <w:textDirection w:val="lrTb"/>
          <w:docGrid w:type="default" w:linePitch="360" w:charSpace="4096"/>
        </w:sectPr>
      </w:pPr>
    </w:p>
    <w:tbl>
      <w:tblPr>
        <w:tblStyle w:val="Grilledutableau"/>
        <w:tblW w:w="4172" w:type="dxa"/>
        <w:jc w:val="left"/>
        <w:tblInd w:w="0" w:type="dxa"/>
        <w:tblCellMar>
          <w:top w:w="0" w:type="dxa"/>
          <w:left w:w="108" w:type="dxa"/>
          <w:bottom w:w="0" w:type="dxa"/>
          <w:right w:w="108" w:type="dxa"/>
        </w:tblCellMar>
        <w:tblLook w:firstRow="1" w:noVBand="1" w:lastRow="0" w:firstColumn="1" w:lastColumn="0" w:noHBand="0" w:val="04a0"/>
      </w:tblPr>
      <w:tblGrid>
        <w:gridCol w:w="2937"/>
        <w:gridCol w:w="1234"/>
      </w:tblGrid>
      <w:tr>
        <w:trPr/>
        <w:tc>
          <w:tcPr>
            <w:tcW w:w="2937" w:type="dxa"/>
            <w:tcBorders/>
            <w:shd w:fill="auto" w:val="clear"/>
          </w:tcPr>
          <w:p>
            <w:pPr>
              <w:pStyle w:val="Normal"/>
              <w:spacing w:lineRule="auto" w:line="240" w:before="0" w:after="0"/>
              <w:rPr>
                <w:b/>
                <w:b/>
              </w:rPr>
            </w:pPr>
            <w:r>
              <w:rPr>
                <w:b/>
              </w:rPr>
              <w:t>Présence sur le site</w:t>
            </w:r>
          </w:p>
        </w:tc>
        <w:tc>
          <w:tcPr>
            <w:tcW w:w="1234" w:type="dxa"/>
            <w:tcBorders/>
            <w:shd w:fill="auto" w:val="clear"/>
          </w:tcPr>
          <w:p>
            <w:pPr>
              <w:pStyle w:val="Normal"/>
              <w:spacing w:lineRule="auto" w:line="240" w:before="0" w:after="0"/>
              <w:jc w:val="center"/>
              <w:rPr>
                <w:b/>
                <w:b/>
              </w:rPr>
            </w:pPr>
            <w:r>
              <w:rPr>
                <w:b/>
                <w:color w:val="FF0000"/>
              </w:rPr>
              <w:t>Score</w:t>
            </w:r>
          </w:p>
        </w:tc>
      </w:tr>
      <w:tr>
        <w:trPr/>
        <w:tc>
          <w:tcPr>
            <w:tcW w:w="2937" w:type="dxa"/>
            <w:tcBorders/>
            <w:shd w:fill="auto" w:val="clear"/>
          </w:tcPr>
          <w:p>
            <w:pPr>
              <w:pStyle w:val="Normal"/>
              <w:spacing w:lineRule="auto" w:line="240" w:before="0" w:after="0"/>
              <w:rPr/>
            </w:pPr>
            <w:r>
              <w:rPr/>
              <w:t>Pas d’espèce exotique</w:t>
            </w:r>
          </w:p>
        </w:tc>
        <w:tc>
          <w:tcPr>
            <w:tcW w:w="1234" w:type="dxa"/>
            <w:tcBorders/>
            <w:shd w:fill="auto" w:val="clear"/>
          </w:tcPr>
          <w:p>
            <w:pPr>
              <w:pStyle w:val="Normal"/>
              <w:spacing w:lineRule="auto" w:line="240" w:before="0" w:after="0"/>
              <w:rPr/>
            </w:pPr>
            <w:r>
              <w:rPr/>
              <w:t>5</w:t>
            </w:r>
          </w:p>
        </w:tc>
      </w:tr>
      <w:tr>
        <w:trPr/>
        <w:tc>
          <w:tcPr>
            <w:tcW w:w="2937" w:type="dxa"/>
            <w:tcBorders/>
            <w:shd w:fill="auto" w:val="clear"/>
          </w:tcPr>
          <w:p>
            <w:pPr>
              <w:pStyle w:val="Normal"/>
              <w:spacing w:lineRule="auto" w:line="240" w:before="0" w:after="0"/>
              <w:rPr/>
            </w:pPr>
            <w:r>
              <w:rPr/>
              <w:t>Rares individus (1 à 3) isolés</w:t>
            </w:r>
          </w:p>
        </w:tc>
        <w:tc>
          <w:tcPr>
            <w:tcW w:w="1234" w:type="dxa"/>
            <w:tcBorders/>
            <w:shd w:fill="auto" w:val="clear"/>
          </w:tcPr>
          <w:p>
            <w:pPr>
              <w:pStyle w:val="Normal"/>
              <w:spacing w:lineRule="auto" w:line="240" w:before="120" w:after="0"/>
              <w:rPr/>
            </w:pPr>
            <w:r>
              <w:rPr/>
              <w:t>-1</w:t>
            </w:r>
          </w:p>
        </w:tc>
      </w:tr>
      <w:tr>
        <w:trPr/>
        <w:tc>
          <w:tcPr>
            <w:tcW w:w="2937" w:type="dxa"/>
            <w:tcBorders/>
            <w:shd w:fill="auto" w:val="clear"/>
          </w:tcPr>
          <w:p>
            <w:pPr>
              <w:pStyle w:val="Normal"/>
              <w:spacing w:lineRule="auto" w:line="240" w:before="0" w:after="0"/>
              <w:rPr/>
            </w:pPr>
            <w:r>
              <w:rPr/>
              <w:t>Petits groupes d’individus répartis aléatoirement</w:t>
            </w:r>
          </w:p>
        </w:tc>
        <w:tc>
          <w:tcPr>
            <w:tcW w:w="1234" w:type="dxa"/>
            <w:tcBorders/>
            <w:shd w:fill="auto" w:val="clear"/>
          </w:tcPr>
          <w:p>
            <w:pPr>
              <w:pStyle w:val="Normal"/>
              <w:spacing w:lineRule="auto" w:line="240" w:before="120" w:after="0"/>
              <w:rPr/>
            </w:pPr>
            <w:r>
              <w:rPr/>
              <w:t>-4</w:t>
            </w:r>
          </w:p>
        </w:tc>
      </w:tr>
      <w:tr>
        <w:trPr/>
        <w:tc>
          <w:tcPr>
            <w:tcW w:w="2937" w:type="dxa"/>
            <w:tcBorders/>
            <w:shd w:fill="auto" w:val="clear"/>
          </w:tcPr>
          <w:p>
            <w:pPr>
              <w:pStyle w:val="Normal"/>
              <w:spacing w:lineRule="auto" w:line="240" w:before="0" w:after="0"/>
              <w:rPr/>
            </w:pPr>
            <w:r>
              <w:rPr/>
              <w:t xml:space="preserve"> </w:t>
            </w:r>
            <w:r>
              <w:rPr/>
              <w:t>Grands groupes compacts d’individus</w:t>
            </w:r>
          </w:p>
        </w:tc>
        <w:tc>
          <w:tcPr>
            <w:tcW w:w="1234" w:type="dxa"/>
            <w:tcBorders/>
            <w:shd w:fill="auto" w:val="clear"/>
          </w:tcPr>
          <w:p>
            <w:pPr>
              <w:pStyle w:val="Normal"/>
              <w:spacing w:lineRule="auto" w:line="240" w:before="120" w:after="0"/>
              <w:rPr/>
            </w:pPr>
            <w:r>
              <w:rPr/>
              <w:t>-5</w:t>
            </w:r>
          </w:p>
        </w:tc>
      </w:tr>
    </w:tbl>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t>Score =</w:t>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Puces"/>
        <w:numPr>
          <w:ilvl w:val="0"/>
          <w:numId w:val="0"/>
        </w:numPr>
        <w:spacing w:lineRule="auto" w:line="240"/>
        <w:ind w:left="284" w:hanging="284"/>
        <w:jc w:val="left"/>
        <w:rPr/>
      </w:pPr>
      <w:r>
        <w:rPr/>
      </w:r>
    </w:p>
    <w:p>
      <w:pPr>
        <w:pStyle w:val="Puces"/>
        <w:numPr>
          <w:ilvl w:val="0"/>
          <w:numId w:val="0"/>
        </w:numPr>
        <w:spacing w:lineRule="auto" w:line="240"/>
        <w:ind w:left="284" w:hanging="284"/>
        <w:jc w:val="left"/>
        <w:rPr/>
      </w:pPr>
      <w:r>
        <w:rPr/>
      </w:r>
    </w:p>
    <w:p>
      <w:pPr>
        <w:pStyle w:val="Titre3"/>
        <w:numPr>
          <w:ilvl w:val="0"/>
          <w:numId w:val="0"/>
        </w:numPr>
        <w:rPr/>
      </w:pPr>
      <w:r>
        <w:rPr/>
      </w:r>
      <w:r>
        <w:br w:type="page"/>
      </w:r>
    </w:p>
    <w:p>
      <w:pPr>
        <w:pStyle w:val="Titre3"/>
        <w:numPr>
          <w:ilvl w:val="2"/>
          <w:numId w:val="2"/>
        </w:numPr>
        <w:rPr/>
      </w:pPr>
      <w:bookmarkStart w:id="14" w:name="_Toc33726976"/>
      <w:r>
        <w:rPr/>
        <w:t>Installations pour la biodiversité</w:t>
      </w:r>
      <w:bookmarkEnd w:id="14"/>
    </w:p>
    <w:p>
      <w:pPr>
        <w:pStyle w:val="Normal"/>
        <w:rPr/>
      </w:pPr>
      <w:r>
        <w:rPr/>
        <w:t>Hôtels à insectes (Fig. 22), tas de bois morts, murets de pierres sèches, mares (Fig. 23), nichoirs (Fig. 24), jardin… un certain nombre d’infrastructures favorise la biodiversité parce qu’elles augmentent la capacité d’accueil, de refuge, de nidification et servent donc en même temps de sites de ressources pour certaines espèces.</w:t>
      </w:r>
    </w:p>
    <w:p>
      <w:pPr>
        <w:pStyle w:val="Normal"/>
        <w:rPr/>
      </w:pPr>
      <w:r>
        <w:rPr/>
        <w:drawing>
          <wp:inline distT="0" distB="0" distL="0" distR="0">
            <wp:extent cx="1323975" cy="1765300"/>
            <wp:effectExtent l="0" t="0" r="0" b="0"/>
            <wp:docPr id="38" name="Image 4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 46" descr=""/>
                    <pic:cNvPicPr>
                      <a:picLocks noChangeAspect="1" noChangeArrowheads="1"/>
                    </pic:cNvPicPr>
                  </pic:nvPicPr>
                  <pic:blipFill>
                    <a:blip r:embed="rId36"/>
                    <a:stretch>
                      <a:fillRect/>
                    </a:stretch>
                  </pic:blipFill>
                  <pic:spPr bwMode="auto">
                    <a:xfrm>
                      <a:off x="0" y="0"/>
                      <a:ext cx="1323975" cy="1765300"/>
                    </a:xfrm>
                    <a:prstGeom prst="rect">
                      <a:avLst/>
                    </a:prstGeom>
                  </pic:spPr>
                </pic:pic>
              </a:graphicData>
            </a:graphic>
          </wp:inline>
        </w:drawing>
      </w:r>
      <w:r>
        <w:rPr/>
        <w:t xml:space="preserve"> </w:t>
      </w:r>
      <w:r>
        <w:rPr/>
        <w:t xml:space="preserve">Fig. 22 </w:t>
      </w:r>
      <w:r>
        <w:rPr/>
        <w:drawing>
          <wp:inline distT="0" distB="0" distL="0" distR="0">
            <wp:extent cx="1817370" cy="1542415"/>
            <wp:effectExtent l="0" t="0" r="0" b="0"/>
            <wp:docPr id="39" name="Image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 47" descr=""/>
                    <pic:cNvPicPr>
                      <a:picLocks noChangeAspect="1" noChangeArrowheads="1"/>
                    </pic:cNvPicPr>
                  </pic:nvPicPr>
                  <pic:blipFill>
                    <a:blip r:embed="rId37"/>
                    <a:stretch>
                      <a:fillRect/>
                    </a:stretch>
                  </pic:blipFill>
                  <pic:spPr bwMode="auto">
                    <a:xfrm>
                      <a:off x="0" y="0"/>
                      <a:ext cx="1817370" cy="1542415"/>
                    </a:xfrm>
                    <a:prstGeom prst="rect">
                      <a:avLst/>
                    </a:prstGeom>
                  </pic:spPr>
                </pic:pic>
              </a:graphicData>
            </a:graphic>
          </wp:inline>
        </w:drawing>
      </w:r>
      <w:r>
        <w:rPr/>
        <w:t xml:space="preserve"> Fig.23 </w:t>
      </w:r>
      <w:r>
        <w:rPr/>
        <w:drawing>
          <wp:inline distT="0" distB="0" distL="0" distR="0">
            <wp:extent cx="1323975" cy="1765300"/>
            <wp:effectExtent l="0" t="0" r="0" b="0"/>
            <wp:docPr id="40" name="Image 4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 48" descr=""/>
                    <pic:cNvPicPr>
                      <a:picLocks noChangeAspect="1" noChangeArrowheads="1"/>
                    </pic:cNvPicPr>
                  </pic:nvPicPr>
                  <pic:blipFill>
                    <a:blip r:embed="rId38"/>
                    <a:stretch>
                      <a:fillRect/>
                    </a:stretch>
                  </pic:blipFill>
                  <pic:spPr bwMode="auto">
                    <a:xfrm>
                      <a:off x="0" y="0"/>
                      <a:ext cx="1323975" cy="1765300"/>
                    </a:xfrm>
                    <a:prstGeom prst="rect">
                      <a:avLst/>
                    </a:prstGeom>
                  </pic:spPr>
                </pic:pic>
              </a:graphicData>
            </a:graphic>
          </wp:inline>
        </w:drawing>
      </w:r>
      <w:r>
        <w:rPr/>
        <w:t>Fig.24</w:t>
      </w:r>
    </w:p>
    <w:p>
      <w:pPr>
        <w:pStyle w:val="Normal"/>
        <w:rPr/>
      </w:pPr>
      <w:r>
        <w:rPr/>
      </w:r>
    </w:p>
    <w:tbl>
      <w:tblPr>
        <w:tblStyle w:val="Grilledutableau"/>
        <w:tblW w:w="9062" w:type="dxa"/>
        <w:jc w:val="left"/>
        <w:tblInd w:w="0" w:type="dxa"/>
        <w:tblCellMar>
          <w:top w:w="0" w:type="dxa"/>
          <w:left w:w="108" w:type="dxa"/>
          <w:bottom w:w="0" w:type="dxa"/>
          <w:right w:w="108" w:type="dxa"/>
        </w:tblCellMar>
        <w:tblLook w:firstRow="1" w:noVBand="1" w:lastRow="0" w:firstColumn="1" w:lastColumn="0" w:noHBand="0" w:val="04a0"/>
      </w:tblPr>
      <w:tblGrid>
        <w:gridCol w:w="3025"/>
        <w:gridCol w:w="3017"/>
        <w:gridCol w:w="3020"/>
      </w:tblGrid>
      <w:tr>
        <w:trPr/>
        <w:tc>
          <w:tcPr>
            <w:tcW w:w="3025" w:type="dxa"/>
            <w:tcBorders/>
            <w:shd w:fill="auto" w:val="clear"/>
          </w:tcPr>
          <w:p>
            <w:pPr>
              <w:pStyle w:val="Normal"/>
              <w:spacing w:lineRule="auto" w:line="240" w:before="0" w:after="0"/>
              <w:rPr>
                <w:b/>
                <w:b/>
              </w:rPr>
            </w:pPr>
            <w:r>
              <w:rPr>
                <w:b/>
              </w:rPr>
              <w:t>Nombre d’installations</w:t>
            </w:r>
          </w:p>
        </w:tc>
        <w:tc>
          <w:tcPr>
            <w:tcW w:w="3017" w:type="dxa"/>
            <w:tcBorders/>
            <w:shd w:fill="auto" w:val="clear"/>
          </w:tcPr>
          <w:p>
            <w:pPr>
              <w:pStyle w:val="Normal"/>
              <w:spacing w:lineRule="auto" w:line="240" w:before="0" w:after="0"/>
              <w:rPr/>
            </w:pPr>
            <w:r>
              <w:rPr>
                <w:color w:val="FF0000"/>
              </w:rPr>
              <w:t>1 installation</w:t>
            </w:r>
          </w:p>
        </w:tc>
        <w:tc>
          <w:tcPr>
            <w:tcW w:w="3020" w:type="dxa"/>
            <w:tcBorders/>
            <w:shd w:fill="auto" w:val="clear"/>
          </w:tcPr>
          <w:p>
            <w:pPr>
              <w:pStyle w:val="Normal"/>
              <w:spacing w:lineRule="auto" w:line="240" w:before="0" w:after="0"/>
              <w:rPr>
                <w:u w:val="single"/>
              </w:rPr>
            </w:pPr>
            <w:r>
              <w:rPr>
                <w:color w:val="FF0000"/>
                <w:u w:val="single"/>
              </w:rPr>
              <w:t>&gt;</w:t>
            </w:r>
            <w:r>
              <w:rPr>
                <w:color w:val="FF0000"/>
              </w:rPr>
              <w:t xml:space="preserve"> 2 installations</w:t>
            </w:r>
          </w:p>
        </w:tc>
      </w:tr>
      <w:tr>
        <w:trPr/>
        <w:tc>
          <w:tcPr>
            <w:tcW w:w="3025" w:type="dxa"/>
            <w:tcBorders/>
            <w:shd w:fill="auto" w:val="clear"/>
          </w:tcPr>
          <w:p>
            <w:pPr>
              <w:pStyle w:val="Normal"/>
              <w:spacing w:lineRule="auto" w:line="240" w:before="0" w:after="0"/>
              <w:rPr/>
            </w:pPr>
            <w:r>
              <w:rPr/>
              <w:t>Score</w:t>
            </w:r>
          </w:p>
        </w:tc>
        <w:tc>
          <w:tcPr>
            <w:tcW w:w="3017" w:type="dxa"/>
            <w:tcBorders/>
            <w:shd w:fill="auto" w:val="clear"/>
          </w:tcPr>
          <w:p>
            <w:pPr>
              <w:pStyle w:val="Normal"/>
              <w:spacing w:lineRule="auto" w:line="240" w:before="0" w:after="0"/>
              <w:rPr/>
            </w:pPr>
            <w:r>
              <w:rPr/>
              <w:t>4</w:t>
            </w:r>
          </w:p>
        </w:tc>
        <w:tc>
          <w:tcPr>
            <w:tcW w:w="3020" w:type="dxa"/>
            <w:tcBorders/>
            <w:shd w:fill="auto" w:val="clear"/>
          </w:tcPr>
          <w:p>
            <w:pPr>
              <w:pStyle w:val="Normal"/>
              <w:spacing w:lineRule="auto" w:line="240" w:before="0" w:after="0"/>
              <w:rPr/>
            </w:pPr>
            <w:r>
              <w:rPr/>
              <w:t>5</w:t>
            </w:r>
          </w:p>
        </w:tc>
      </w:tr>
    </w:tbl>
    <w:p>
      <w:pPr>
        <w:pStyle w:val="Normal"/>
        <w:rPr/>
      </w:pPr>
      <w:r>
        <w:rPr/>
        <w:t xml:space="preserve"> </w:t>
      </w:r>
    </w:p>
    <w:p>
      <w:pPr>
        <w:pStyle w:val="Normal"/>
        <w:rPr/>
      </w:pPr>
      <w:r>
        <w:rPr/>
        <w:t xml:space="preserve">Score  = </w:t>
      </w:r>
    </w:p>
    <w:p>
      <w:pPr>
        <w:pStyle w:val="Normal"/>
        <w:rPr/>
      </w:pPr>
      <w:r>
        <w:rPr/>
        <w:t>*Si le site ne contient pas d’installation, retirer l’indice de l’indicateur</w:t>
      </w:r>
    </w:p>
    <w:p>
      <w:pPr>
        <w:pStyle w:val="Normal"/>
        <w:rPr/>
      </w:pPr>
      <w:r>
        <w:rPr/>
      </w:r>
    </w:p>
    <w:p>
      <w:pPr>
        <w:pStyle w:val="Normal"/>
        <w:rPr/>
      </w:pPr>
      <w:r>
        <w:rPr/>
      </w:r>
    </w:p>
    <w:p>
      <w:pPr>
        <w:pStyle w:val="Normal"/>
        <w:spacing w:lineRule="auto" w:line="259" w:before="0" w:after="160"/>
        <w:jc w:val="left"/>
        <w:rPr/>
      </w:pPr>
      <w:r>
        <w:rPr/>
      </w:r>
      <w:r>
        <w:br w:type="page"/>
      </w:r>
    </w:p>
    <w:p>
      <w:pPr>
        <w:pStyle w:val="Titre3"/>
        <w:numPr>
          <w:ilvl w:val="2"/>
          <w:numId w:val="2"/>
        </w:numPr>
        <w:rPr/>
      </w:pPr>
      <w:bookmarkStart w:id="15" w:name="_Toc33726977"/>
      <w:r>
        <w:rPr/>
        <w:t>Proximité de réservoir de biodiversité</w:t>
      </w:r>
      <w:bookmarkEnd w:id="15"/>
    </w:p>
    <w:p>
      <w:pPr>
        <w:pStyle w:val="Normal"/>
        <w:rPr/>
      </w:pPr>
      <w:r>
        <w:rPr/>
        <w:t>On appelle réservoirs de biodiversité les sites labellisés pour leurs valeur naturelle (ZNIEFF- Zone Naturelle d’Intérêt Ecologique Faunistique et Floristique, Arrêté de biotope, Espace naturel sensible, Réserve régionale ou nationale, site Natura 2000…). Il peut s’agir de parcs et jardins, de bois, de forêts, d’ensemble naturels variés. Leur proximité favorise le déplacement de certaines espèces, les amphibiens pour exemple se déplaçant de quelques centaines de mètres. Ces déplacements sont favorisés s’il y a des milieux qui facilitent les connexions, comme des corridors ou des éléments de végétation peu éloignés, dits « en pas japonais », des espaces verts, des jardins, des chemins piétonniers, permettant la liaison entre le réservoir de biodiversité et le site échantillonné. Une mesure de gestion pourrait favoriser auprès des riverains du site industriel la création de parcours de continuité écologique (cheminement en pas japonais avec des successions d’éléments favorisant le déplacement des espèces ou bien continuité directe par exemple en créant un chemin piétonnier ou une piste cyclable).</w:t>
      </w:r>
    </w:p>
    <w:p>
      <w:pPr>
        <w:pStyle w:val="Normal"/>
        <w:rPr/>
      </w:pPr>
      <w:r>
        <w:rPr/>
        <w:t xml:space="preserve">Afin de connaître les sites labellisés et considérés comme réservoirs de biodiversité, il est possible d’aller sur le site de l’IGN : Géoportail. Il faudra ensuite taper la localisation du site, puis aller dans l’onglet « carte » (en haut à gauche) </w:t>
      </w:r>
      <w:r>
        <w:rPr>
          <w:rFonts w:eastAsia="Wingdings" w:cs="Wingdings" w:ascii="Wingdings" w:hAnsi="Wingdings"/>
        </w:rPr>
        <w:t></w:t>
      </w:r>
      <w:r>
        <w:rPr/>
        <w:t xml:space="preserve"> « développement durable, énergie » </w:t>
      </w:r>
      <w:r>
        <w:rPr>
          <w:rFonts w:eastAsia="Wingdings" w:cs="Wingdings" w:ascii="Wingdings" w:hAnsi="Wingdings"/>
        </w:rPr>
        <w:t></w:t>
      </w:r>
      <w:r>
        <w:rPr/>
        <w:t>  « espaces protégés ».</w:t>
      </w:r>
    </w:p>
    <w:p>
      <w:pPr>
        <w:pStyle w:val="Normal"/>
        <w:rPr/>
      </w:pPr>
      <w:r>
        <w:rPr/>
      </w:r>
    </w:p>
    <w:tbl>
      <w:tblPr>
        <w:tblStyle w:val="Grilledutableau"/>
        <w:tblW w:w="9062" w:type="dxa"/>
        <w:jc w:val="left"/>
        <w:tblInd w:w="0" w:type="dxa"/>
        <w:tblCellMar>
          <w:top w:w="0" w:type="dxa"/>
          <w:left w:w="108" w:type="dxa"/>
          <w:bottom w:w="0" w:type="dxa"/>
          <w:right w:w="108" w:type="dxa"/>
        </w:tblCellMar>
        <w:tblLook w:firstRow="1" w:noVBand="1" w:lastRow="0" w:firstColumn="1" w:lastColumn="0" w:noHBand="0" w:val="04a0"/>
      </w:tblPr>
      <w:tblGrid>
        <w:gridCol w:w="4535"/>
        <w:gridCol w:w="4526"/>
      </w:tblGrid>
      <w:tr>
        <w:trPr/>
        <w:tc>
          <w:tcPr>
            <w:tcW w:w="4535" w:type="dxa"/>
            <w:tcBorders/>
            <w:shd w:fill="auto" w:val="clear"/>
          </w:tcPr>
          <w:p>
            <w:pPr>
              <w:pStyle w:val="Normal"/>
              <w:spacing w:lineRule="auto" w:line="240" w:before="0" w:after="0"/>
              <w:rPr>
                <w:b/>
                <w:b/>
              </w:rPr>
            </w:pPr>
            <w:r>
              <w:rPr>
                <w:b/>
              </w:rPr>
              <w:t>Proximité du site par rapport à un site labellisé</w:t>
            </w:r>
          </w:p>
        </w:tc>
        <w:tc>
          <w:tcPr>
            <w:tcW w:w="4526" w:type="dxa"/>
            <w:tcBorders/>
            <w:shd w:fill="auto" w:val="clear"/>
          </w:tcPr>
          <w:p>
            <w:pPr>
              <w:pStyle w:val="Normal"/>
              <w:spacing w:lineRule="auto" w:line="240" w:before="0" w:after="0"/>
              <w:rPr>
                <w:b/>
                <w:b/>
              </w:rPr>
            </w:pPr>
            <w:r>
              <w:rPr>
                <w:b/>
                <w:color w:val="FF0000"/>
              </w:rPr>
              <w:t xml:space="preserve">Score </w:t>
            </w:r>
          </w:p>
        </w:tc>
      </w:tr>
      <w:tr>
        <w:trPr/>
        <w:tc>
          <w:tcPr>
            <w:tcW w:w="4535" w:type="dxa"/>
            <w:tcBorders/>
            <w:shd w:fill="auto" w:val="clear"/>
          </w:tcPr>
          <w:p>
            <w:pPr>
              <w:pStyle w:val="Normal"/>
              <w:spacing w:lineRule="auto" w:line="240" w:before="0" w:after="0"/>
              <w:rPr/>
            </w:pPr>
            <w:r>
              <w:rPr/>
              <w:t>&gt; 2 km ou absence de corridor écologique</w:t>
            </w:r>
          </w:p>
        </w:tc>
        <w:tc>
          <w:tcPr>
            <w:tcW w:w="4526" w:type="dxa"/>
            <w:tcBorders/>
            <w:shd w:fill="auto" w:val="clear"/>
          </w:tcPr>
          <w:p>
            <w:pPr>
              <w:pStyle w:val="Normal"/>
              <w:spacing w:lineRule="auto" w:line="240" w:before="0" w:after="0"/>
              <w:rPr/>
            </w:pPr>
            <w:r>
              <w:rPr/>
              <w:t>0</w:t>
            </w:r>
          </w:p>
        </w:tc>
      </w:tr>
      <w:tr>
        <w:trPr/>
        <w:tc>
          <w:tcPr>
            <w:tcW w:w="4535" w:type="dxa"/>
            <w:tcBorders/>
            <w:shd w:fill="auto" w:val="clear"/>
          </w:tcPr>
          <w:p>
            <w:pPr>
              <w:pStyle w:val="Normal"/>
              <w:spacing w:lineRule="auto" w:line="240" w:before="0" w:after="0"/>
              <w:rPr/>
            </w:pPr>
            <w:r>
              <w:rPr/>
              <w:t>2 km à 1 km si corridors écologiques</w:t>
            </w:r>
          </w:p>
        </w:tc>
        <w:tc>
          <w:tcPr>
            <w:tcW w:w="4526" w:type="dxa"/>
            <w:tcBorders/>
            <w:shd w:fill="auto" w:val="clear"/>
          </w:tcPr>
          <w:p>
            <w:pPr>
              <w:pStyle w:val="Normal"/>
              <w:spacing w:lineRule="auto" w:line="240" w:before="0" w:after="0"/>
              <w:rPr/>
            </w:pPr>
            <w:r>
              <w:rPr/>
              <w:t>1</w:t>
            </w:r>
          </w:p>
        </w:tc>
      </w:tr>
      <w:tr>
        <w:trPr/>
        <w:tc>
          <w:tcPr>
            <w:tcW w:w="4535" w:type="dxa"/>
            <w:tcBorders/>
            <w:shd w:fill="auto" w:val="clear"/>
          </w:tcPr>
          <w:p>
            <w:pPr>
              <w:pStyle w:val="Normal"/>
              <w:spacing w:lineRule="auto" w:line="240" w:before="0" w:after="0"/>
              <w:rPr/>
            </w:pPr>
            <w:r>
              <w:rPr/>
              <w:t>1 km à 500 m si corridors écologiques</w:t>
            </w:r>
          </w:p>
        </w:tc>
        <w:tc>
          <w:tcPr>
            <w:tcW w:w="4526" w:type="dxa"/>
            <w:tcBorders/>
            <w:shd w:fill="auto" w:val="clear"/>
          </w:tcPr>
          <w:p>
            <w:pPr>
              <w:pStyle w:val="Normal"/>
              <w:spacing w:lineRule="auto" w:line="240" w:before="0" w:after="0"/>
              <w:rPr/>
            </w:pPr>
            <w:r>
              <w:rPr/>
              <w:t>3</w:t>
            </w:r>
          </w:p>
        </w:tc>
      </w:tr>
      <w:tr>
        <w:trPr/>
        <w:tc>
          <w:tcPr>
            <w:tcW w:w="4535" w:type="dxa"/>
            <w:tcBorders/>
            <w:shd w:fill="auto" w:val="clear"/>
          </w:tcPr>
          <w:p>
            <w:pPr>
              <w:pStyle w:val="Normal"/>
              <w:spacing w:lineRule="auto" w:line="240" w:before="0" w:after="0"/>
              <w:rPr/>
            </w:pPr>
            <w:r>
              <w:rPr/>
              <w:t>500 m à 100 m si corridors écologiques</w:t>
            </w:r>
          </w:p>
        </w:tc>
        <w:tc>
          <w:tcPr>
            <w:tcW w:w="4526" w:type="dxa"/>
            <w:tcBorders/>
            <w:shd w:fill="auto" w:val="clear"/>
          </w:tcPr>
          <w:p>
            <w:pPr>
              <w:pStyle w:val="Normal"/>
              <w:spacing w:lineRule="auto" w:line="240" w:before="0" w:after="0"/>
              <w:rPr/>
            </w:pPr>
            <w:r>
              <w:rPr/>
              <w:t>4</w:t>
            </w:r>
          </w:p>
        </w:tc>
      </w:tr>
      <w:tr>
        <w:trPr/>
        <w:tc>
          <w:tcPr>
            <w:tcW w:w="4535" w:type="dxa"/>
            <w:tcBorders/>
            <w:shd w:fill="auto" w:val="clear"/>
          </w:tcPr>
          <w:p>
            <w:pPr>
              <w:pStyle w:val="Normal"/>
              <w:spacing w:lineRule="auto" w:line="240" w:before="0" w:after="0"/>
              <w:rPr/>
            </w:pPr>
            <w:r>
              <w:rPr/>
              <w:t>&lt; 100 m si corridors écologiques</w:t>
            </w:r>
          </w:p>
        </w:tc>
        <w:tc>
          <w:tcPr>
            <w:tcW w:w="4526" w:type="dxa"/>
            <w:tcBorders/>
            <w:shd w:fill="auto" w:val="clear"/>
          </w:tcPr>
          <w:p>
            <w:pPr>
              <w:pStyle w:val="Normal"/>
              <w:spacing w:lineRule="auto" w:line="240" w:before="0" w:after="0"/>
              <w:rPr/>
            </w:pPr>
            <w:r>
              <w:rPr/>
              <w:t>5</w:t>
            </w:r>
          </w:p>
        </w:tc>
      </w:tr>
    </w:tbl>
    <w:p>
      <w:pPr>
        <w:pStyle w:val="Normal"/>
        <w:rPr/>
      </w:pPr>
      <w:r>
        <w:rPr/>
        <w:t xml:space="preserve"> </w:t>
      </w:r>
    </w:p>
    <w:p>
      <w:pPr>
        <w:pStyle w:val="Normal"/>
        <w:rPr/>
      </w:pPr>
      <w:r>
        <w:rPr/>
        <w:t xml:space="preserve">Score = </w:t>
      </w:r>
    </w:p>
    <w:p>
      <w:pPr>
        <w:pStyle w:val="Normal"/>
        <w:rPr/>
      </w:pPr>
      <w:r>
        <w:rPr/>
      </w:r>
    </w:p>
    <w:p>
      <w:pPr>
        <w:pStyle w:val="Normal"/>
        <w:rPr/>
      </w:pPr>
      <w:r>
        <w:rPr/>
      </w:r>
    </w:p>
    <w:p>
      <w:pPr>
        <w:pStyle w:val="Normal"/>
        <w:rPr/>
      </w:pPr>
      <w:r>
        <w:rPr/>
      </w:r>
    </w:p>
    <w:p>
      <w:pPr>
        <w:pStyle w:val="Normal"/>
        <w:rPr/>
      </w:pPr>
      <w:r>
        <w:rPr/>
      </w:r>
      <w:r>
        <w:br w:type="page"/>
      </w:r>
    </w:p>
    <w:p>
      <w:pPr>
        <w:pStyle w:val="Titre2"/>
        <w:numPr>
          <w:ilvl w:val="1"/>
          <w:numId w:val="2"/>
        </w:numPr>
        <w:ind w:left="578" w:hanging="578"/>
        <w:rPr/>
      </w:pPr>
      <w:bookmarkStart w:id="16" w:name="_Toc33726978"/>
      <w:r>
        <w:rPr/>
        <w:t>La réalisation des documents</w:t>
      </w:r>
      <w:bookmarkEnd w:id="16"/>
    </w:p>
    <w:p>
      <w:pPr>
        <w:pStyle w:val="Normal"/>
        <w:rPr>
          <w:color w:val="000000" w:themeColor="text1"/>
        </w:rPr>
      </w:pPr>
      <w:r>
        <w:rPr>
          <w:color w:val="000000" w:themeColor="text1"/>
        </w:rPr>
        <w:t xml:space="preserve">L’utilisation de l’indicateur se fait en </w:t>
      </w:r>
      <w:r>
        <w:rPr>
          <w:b/>
          <w:color w:val="000000" w:themeColor="text1"/>
          <w:u w:val="single"/>
        </w:rPr>
        <w:t>deux phases distinctes</w:t>
      </w:r>
      <w:r>
        <w:rPr>
          <w:color w:val="000000" w:themeColor="text1"/>
        </w:rPr>
        <w:t xml:space="preserve"> ; une </w:t>
      </w:r>
      <w:r>
        <w:rPr>
          <w:b/>
          <w:color w:val="000000" w:themeColor="text1"/>
        </w:rPr>
        <w:t>phase de terrain</w:t>
      </w:r>
      <w:r>
        <w:rPr>
          <w:color w:val="000000" w:themeColor="text1"/>
        </w:rPr>
        <w:t xml:space="preserve"> et une </w:t>
      </w:r>
      <w:r>
        <w:rPr>
          <w:b/>
          <w:color w:val="000000" w:themeColor="text1"/>
        </w:rPr>
        <w:t>phase de bureau</w:t>
      </w:r>
      <w:r>
        <w:rPr>
          <w:color w:val="000000" w:themeColor="text1"/>
        </w:rPr>
        <w:t xml:space="preserve">. La phase de terrain est celle de l’utilisation de l’indicateur sur l’espace vert, avec, des données pour chaque site. </w:t>
      </w:r>
    </w:p>
    <w:p>
      <w:pPr>
        <w:pStyle w:val="Normal"/>
        <w:rPr>
          <w:color w:val="000000" w:themeColor="text1"/>
        </w:rPr>
      </w:pPr>
      <w:r>
        <w:rPr>
          <w:color w:val="000000" w:themeColor="text1"/>
        </w:rPr>
        <w:t xml:space="preserve">Ces données peuvent être entrées sur un tableur simple de type Excel. </w:t>
      </w:r>
    </w:p>
    <w:p>
      <w:pPr>
        <w:pStyle w:val="Normal"/>
        <w:rPr>
          <w:color w:val="000000" w:themeColor="text1"/>
        </w:rPr>
      </w:pPr>
      <w:r>
        <w:rPr>
          <w:color w:val="000000" w:themeColor="text1"/>
        </w:rPr>
        <w:t>Tous les indices renseignés par site peuvent être représentés au moyen d’un diagramme radar ; celui-ci permet d’identifier visuellement les forces et les faiblesses du site dans ses capacités de biodiversité potentielle. Il permet également de superposer les données recueillies après plusieurs campagnes de mesure à l’aide de RENATU, par exemple pour suivre l’évolution du site en fonction des choix successifs de gestion de l’emprise étudiée (tonte tardive, non élagage du bois mort, élimination de plantes exotiques envahissante etc.). Un exemple est donné :</w:t>
      </w:r>
    </w:p>
    <w:p>
      <w:pPr>
        <w:pStyle w:val="Normal"/>
        <w:rPr>
          <w:color w:val="000000" w:themeColor="text1"/>
        </w:rPr>
      </w:pPr>
      <w:r>
        <w:rPr>
          <w:color w:val="000000" w:themeColor="text1"/>
        </w:rPr>
      </w:r>
    </w:p>
    <w:p>
      <w:pPr>
        <w:pStyle w:val="Normal"/>
        <w:rPr>
          <w:sz w:val="24"/>
        </w:rPr>
      </w:pPr>
      <w:r>
        <w:rPr>
          <w:b/>
          <w:sz w:val="24"/>
        </w:rPr>
        <w:t>Exemple de prospection de site avec l’indicateur RENATU :</w:t>
      </w:r>
      <w:r>
        <w:rPr>
          <w:sz w:val="24"/>
        </w:rPr>
        <w:t xml:space="preserve"> La ligne du tramway T2 – Porte de Versailles (75) / Pont de Bezons (92)</w:t>
      </w:r>
    </w:p>
    <w:p>
      <w:pPr>
        <w:pStyle w:val="Normal"/>
        <w:rPr/>
      </w:pPr>
      <w:r>
        <w:rPr/>
        <w:t>L’indicateur RENATU a été utilisé pour l’étude de la ligne de tramway T2. A cette fin, un relevé a été effectué à chaque station, puis un ou deux autres, intermédiaires, selon la distance séparant chacune d’elle. Les données ainsi recueillies ont été traitées sur le tableur Excel. Elles ont été représentées de deux façon ; dans un premier temps cartographique afin de localiser l’ensemble des relevés sur la ligne (dans cette cartographie, les données ont été classées selon leur potentiel de biodiversité (fig. 25), puis intégrées sous la forme de diagramme radar indiquant les différents indices RENATU (fig.26).</w:t>
      </w:r>
    </w:p>
    <w:p>
      <w:pPr>
        <w:pStyle w:val="Normal"/>
        <w:rPr/>
      </w:pPr>
      <w:r>
        <w:rPr/>
      </w:r>
    </w:p>
    <w:p>
      <w:pPr>
        <w:sectPr>
          <w:type w:val="continuous"/>
          <w:pgSz w:w="11906" w:h="16838"/>
          <w:pgMar w:left="1417" w:right="1417" w:header="708" w:top="1417" w:footer="708" w:bottom="1417" w:gutter="0"/>
          <w:formProt w:val="false"/>
          <w:textDirection w:val="lrTb"/>
          <w:docGrid w:type="default" w:linePitch="360" w:charSpace="4096"/>
        </w:sectPr>
      </w:pPr>
    </w:p>
    <w:p>
      <w:pPr>
        <w:pStyle w:val="Normal"/>
        <w:rPr/>
      </w:pPr>
      <w:r>
        <w:rPr/>
        <w:drawing>
          <wp:inline distT="0" distB="0" distL="0" distR="0">
            <wp:extent cx="3105150" cy="5111115"/>
            <wp:effectExtent l="0" t="0" r="0" b="0"/>
            <wp:docPr id="41" name="Image 54" descr="Renatu 2 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54" descr="Renatu 2 sans titre.jpg"/>
                    <pic:cNvPicPr>
                      <a:picLocks noChangeAspect="1" noChangeArrowheads="1"/>
                    </pic:cNvPicPr>
                  </pic:nvPicPr>
                  <pic:blipFill>
                    <a:blip r:embed="rId39"/>
                    <a:stretch>
                      <a:fillRect/>
                    </a:stretch>
                  </pic:blipFill>
                  <pic:spPr bwMode="auto">
                    <a:xfrm>
                      <a:off x="0" y="0"/>
                      <a:ext cx="3105150" cy="5111115"/>
                    </a:xfrm>
                    <a:prstGeom prst="rect">
                      <a:avLst/>
                    </a:prstGeom>
                  </pic:spPr>
                </pic:pic>
              </a:graphicData>
            </a:graphic>
          </wp:inline>
        </w:drawing>
      </w:r>
    </w:p>
    <w:p>
      <w:pPr>
        <w:pStyle w:val="Normal"/>
        <w:rPr>
          <w:sz w:val="24"/>
        </w:rPr>
      </w:pPr>
      <w:r>
        <w:rPr>
          <w:sz w:val="24"/>
        </w:rPr>
      </w:r>
    </w:p>
    <w:p>
      <w:pPr>
        <w:pStyle w:val="Normal"/>
        <w:rPr>
          <w:sz w:val="24"/>
        </w:rPr>
      </w:pPr>
      <w:r>
        <w:rPr>
          <w:sz w:val="24"/>
        </w:rPr>
        <w:t>Figure 25 : ci-contre, carte du trajet du Tramway 2, à l’ouest de Paris, avec les sites où ont été effectuées des mesures à l’aide de l’indicateur RENATU. Plus les points sont foncés plus le score de l’indicateur est élevé.</w:t>
      </w:r>
    </w:p>
    <w:p>
      <w:pPr>
        <w:pStyle w:val="Normal"/>
        <w:rPr>
          <w:sz w:val="24"/>
        </w:rPr>
      </w:pPr>
      <w:r>
        <w:rPr>
          <w:sz w:val="24"/>
        </w:rPr>
        <w:t>Figure 26 : ci-dessous, exemple d’un diagramme radar correspondant aux données des indices de l’indicateur RENATU pour le site 11 sur la Fig.25</w:t>
      </w:r>
    </w:p>
    <w:p>
      <w:pPr>
        <w:pStyle w:val="Normal"/>
        <w:rPr/>
      </w:pPr>
      <w:r>
        <w:rPr/>
        <w:drawing>
          <wp:inline distT="0" distB="0" distL="0" distR="0">
            <wp:extent cx="2655570" cy="1353820"/>
            <wp:effectExtent l="0" t="0" r="0" b="0"/>
            <wp:docPr id="42"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pPr>
        <w:pStyle w:val="Normal"/>
        <w:rPr/>
      </w:pPr>
      <w:r>
        <w:rPr/>
      </w:r>
    </w:p>
    <w:p>
      <w:pPr>
        <w:sectPr>
          <w:type w:val="continuous"/>
          <w:pgSz w:w="11906" w:h="16838"/>
          <w:pgMar w:left="1417" w:right="1417" w:header="708" w:top="1417" w:footer="708" w:bottom="1417" w:gutter="0"/>
          <w:cols w:num="2" w:space="708" w:equalWidth="true" w:sep="false"/>
          <w:formProt w:val="false"/>
          <w:textDirection w:val="lrTb"/>
          <w:docGrid w:type="default" w:linePitch="360" w:charSpace="4096"/>
        </w:sectPr>
      </w:pPr>
    </w:p>
    <w:p>
      <w:pPr>
        <w:pStyle w:val="Normal"/>
        <w:rPr/>
      </w:pPr>
      <w:r>
        <w:rPr/>
      </w:r>
    </w:p>
    <w:p>
      <w:pPr>
        <w:pStyle w:val="Normal"/>
        <w:rPr>
          <w:sz w:val="24"/>
        </w:rPr>
      </w:pPr>
      <w:r>
        <w:rPr>
          <w:sz w:val="24"/>
        </w:rPr>
        <w:t>La représentation cartographique permet de comparer les valeurs de la biodiversité potentielle sur un espace (ici le long d’une infrastructure linéaire de transport) et d’orienter des pratiques de gestion. La comparaison dans le temps de cartes permet alors d’évaluer les progrès accomplis.</w:t>
      </w:r>
    </w:p>
    <w:p>
      <w:pPr>
        <w:pStyle w:val="Normal"/>
        <w:rPr/>
      </w:pPr>
      <w:r>
        <w:rPr/>
      </w:r>
    </w:p>
    <w:p>
      <w:pPr>
        <w:pStyle w:val="Normal"/>
        <w:spacing w:lineRule="auto" w:line="259" w:before="0" w:after="160"/>
        <w:jc w:val="left"/>
        <w:rPr/>
      </w:pPr>
      <w:r>
        <w:rPr/>
      </w:r>
      <w:r>
        <w:br w:type="page"/>
      </w:r>
    </w:p>
    <w:p>
      <w:pPr>
        <w:pStyle w:val="Normal"/>
        <w:spacing w:lineRule="auto" w:line="259" w:before="0" w:after="160"/>
        <w:rPr>
          <w:b/>
          <w:b/>
          <w:i/>
          <w:i/>
        </w:rPr>
      </w:pPr>
      <w:r>
        <w:rPr>
          <w:b/>
          <w:i/>
        </w:rPr>
        <w:t xml:space="preserve">Pour aller plus loin, plusieurs ouvrages et sites internet permettent d’approfondir la compréhension des indicateurs et de la biodiversité. </w:t>
      </w:r>
    </w:p>
    <w:p>
      <w:pPr>
        <w:pStyle w:val="Normal"/>
        <w:rPr/>
      </w:pPr>
      <w:r>
        <w:rPr/>
      </w:r>
    </w:p>
    <w:p>
      <w:pPr>
        <w:pStyle w:val="Puces"/>
        <w:numPr>
          <w:ilvl w:val="6"/>
          <w:numId w:val="3"/>
        </w:numPr>
        <w:ind w:left="284" w:hanging="284"/>
        <w:rPr/>
      </w:pPr>
      <w:r>
        <w:rPr/>
        <w:t xml:space="preserve">BARBAULT, R. (2008). </w:t>
      </w:r>
      <w:r>
        <w:rPr>
          <w:i/>
        </w:rPr>
        <w:t>Ecologie générale, structure et fonctionnement de la biosphère</w:t>
      </w:r>
      <w:r>
        <w:rPr/>
        <w:t>, Paris, Dunod, 390 p</w:t>
      </w:r>
    </w:p>
    <w:p>
      <w:pPr>
        <w:pStyle w:val="Puces"/>
        <w:numPr>
          <w:ilvl w:val="0"/>
          <w:numId w:val="0"/>
        </w:numPr>
        <w:ind w:left="284" w:hanging="284"/>
        <w:rPr/>
      </w:pPr>
      <w:r>
        <w:rPr/>
      </w:r>
    </w:p>
    <w:p>
      <w:pPr>
        <w:pStyle w:val="Puces"/>
        <w:numPr>
          <w:ilvl w:val="6"/>
          <w:numId w:val="3"/>
        </w:numPr>
        <w:ind w:left="284" w:hanging="284"/>
        <w:rPr/>
      </w:pPr>
      <w:r>
        <w:rPr/>
        <w:t>CLEVENOT L., De CHASTENET C., FRASCARIA-LACOSTE N., JACOB P., RAYMOND R., SIMON L., PECH P. (2017). Do linear transport infrastructures provide a potential corridor for urban biodiversity ? Case study in Greater Paris, France,</w:t>
      </w:r>
      <w:r>
        <w:rPr>
          <w:i/>
        </w:rPr>
        <w:t xml:space="preserve"> Cybergeo : European Journal of Geography</w:t>
      </w:r>
      <w:r>
        <w:rPr/>
        <w:t xml:space="preserve"> [Online], </w:t>
      </w:r>
      <w:hyperlink r:id="rId41">
        <w:r>
          <w:rPr>
            <w:rStyle w:val="LienInternet"/>
            <w:color w:val="auto"/>
            <w:u w:val="none"/>
          </w:rPr>
          <w:t>http://cybergeo.revues.org/27895</w:t>
        </w:r>
      </w:hyperlink>
      <w:r>
        <w:rPr>
          <w:rStyle w:val="LienInternet"/>
          <w:color w:val="auto"/>
          <w:u w:val="none"/>
        </w:rPr>
        <w:t xml:space="preserve"> </w:t>
      </w:r>
      <w:r>
        <w:rPr/>
        <w:t xml:space="preserve"> </w:t>
      </w:r>
    </w:p>
    <w:p>
      <w:pPr>
        <w:pStyle w:val="Puces"/>
        <w:numPr>
          <w:ilvl w:val="0"/>
          <w:numId w:val="0"/>
        </w:numPr>
        <w:ind w:left="284" w:hanging="284"/>
        <w:rPr/>
      </w:pPr>
      <w:r>
        <w:rPr/>
      </w:r>
    </w:p>
    <w:p>
      <w:pPr>
        <w:pStyle w:val="Puces"/>
        <w:numPr>
          <w:ilvl w:val="6"/>
          <w:numId w:val="3"/>
        </w:numPr>
        <w:ind w:left="284" w:hanging="284"/>
        <w:rPr/>
      </w:pPr>
      <w:r>
        <w:rPr/>
        <w:t xml:space="preserve">Di Battista T., Fortuna F., Maturo F. (2016). Environmental monitoring through functional biodiversity tools. </w:t>
      </w:r>
      <w:r>
        <w:rPr>
          <w:i/>
        </w:rPr>
        <w:t>Ecological Indicators</w:t>
      </w:r>
      <w:r>
        <w:rPr/>
        <w:t>, 60: 237-247</w:t>
      </w:r>
    </w:p>
    <w:p>
      <w:pPr>
        <w:pStyle w:val="Puces"/>
        <w:numPr>
          <w:ilvl w:val="6"/>
          <w:numId w:val="3"/>
        </w:numPr>
        <w:ind w:left="284" w:hanging="284"/>
        <w:rPr/>
      </w:pPr>
      <w:r>
        <w:rPr/>
      </w:r>
    </w:p>
    <w:p>
      <w:pPr>
        <w:pStyle w:val="Puces"/>
        <w:numPr>
          <w:ilvl w:val="6"/>
          <w:numId w:val="3"/>
        </w:numPr>
        <w:ind w:left="284" w:hanging="284"/>
        <w:rPr/>
      </w:pPr>
      <w:r>
        <w:rPr/>
        <w:t xml:space="preserve">LEVREL, H. (2007). </w:t>
      </w:r>
      <w:r>
        <w:rPr>
          <w:i/>
        </w:rPr>
        <w:t>Quels indicateurs pour la gestion de la biodiversité ?</w:t>
      </w:r>
      <w:r>
        <w:rPr/>
        <w:t xml:space="preserve"> Les cahiers de l’IFB, Paris, 99 p. Téléchargeable sur : </w:t>
      </w:r>
    </w:p>
    <w:p>
      <w:pPr>
        <w:pStyle w:val="Puces"/>
        <w:numPr>
          <w:ilvl w:val="0"/>
          <w:numId w:val="0"/>
        </w:numPr>
        <w:ind w:left="284" w:hanging="284"/>
        <w:rPr/>
      </w:pPr>
      <w:hyperlink r:id="rId42">
        <w:r>
          <w:rPr>
            <w:rStyle w:val="LienInternet"/>
          </w:rPr>
          <w:t>http://www.fondationbiodiversite.fr/images/stories/IFB_Indicateurs_Biodiversite_Fr.pdf</w:t>
        </w:r>
      </w:hyperlink>
    </w:p>
    <w:p>
      <w:pPr>
        <w:pStyle w:val="Puces"/>
        <w:numPr>
          <w:ilvl w:val="6"/>
          <w:numId w:val="3"/>
        </w:numPr>
        <w:ind w:left="284" w:hanging="284"/>
        <w:rPr/>
      </w:pPr>
      <w:r>
        <w:rPr/>
        <w:t xml:space="preserve">Observatoire Nationale de la Biodiversité : </w:t>
      </w:r>
    </w:p>
    <w:p>
      <w:pPr>
        <w:pStyle w:val="Puces"/>
        <w:numPr>
          <w:ilvl w:val="0"/>
          <w:numId w:val="0"/>
        </w:numPr>
        <w:ind w:left="284" w:hanging="284"/>
        <w:rPr>
          <w:rStyle w:val="LienInternet"/>
          <w:color w:val="auto"/>
          <w:u w:val="none"/>
        </w:rPr>
      </w:pPr>
      <w:hyperlink r:id="rId43">
        <w:r>
          <w:rPr>
            <w:rStyle w:val="LienInternet"/>
          </w:rPr>
          <w:t>http://indicateurs-biodiversite.nature.fr/fr/indicateurs/tous</w:t>
        </w:r>
      </w:hyperlink>
    </w:p>
    <w:p>
      <w:pPr>
        <w:pStyle w:val="Puces"/>
        <w:numPr>
          <w:ilvl w:val="0"/>
          <w:numId w:val="0"/>
        </w:numPr>
        <w:ind w:left="284" w:hanging="284"/>
        <w:rPr>
          <w:rStyle w:val="LienInternet"/>
        </w:rPr>
      </w:pPr>
      <w:r>
        <w:rPr/>
      </w:r>
    </w:p>
    <w:p>
      <w:pPr>
        <w:pStyle w:val="Puces"/>
        <w:numPr>
          <w:ilvl w:val="0"/>
          <w:numId w:val="0"/>
        </w:numPr>
        <w:ind w:left="284" w:hanging="284"/>
        <w:rPr>
          <w:rStyle w:val="LienInternet"/>
        </w:rPr>
      </w:pPr>
      <w:r>
        <w:rPr/>
      </w:r>
    </w:p>
    <w:p>
      <w:pPr>
        <w:pStyle w:val="Normal"/>
        <w:rPr>
          <w:b/>
          <w:b/>
          <w:lang w:eastAsia="fr-FR"/>
        </w:rPr>
      </w:pPr>
      <w:r>
        <w:rPr>
          <w:b/>
          <w:lang w:eastAsia="fr-FR"/>
        </w:rPr>
        <w:t>Auteurs : Pierre Pech, Flavia Lifchitz, Laura Thuillier, Nathalie Frascaria, Laurent Simon</w:t>
      </w:r>
    </w:p>
    <w:p>
      <w:pPr>
        <w:pStyle w:val="Puces"/>
        <w:numPr>
          <w:ilvl w:val="0"/>
          <w:numId w:val="0"/>
        </w:numPr>
        <w:ind w:left="284" w:hanging="284"/>
        <w:rPr/>
      </w:pPr>
      <w:r>
        <w:rPr/>
      </w:r>
    </w:p>
    <w:p>
      <w:pPr>
        <w:pStyle w:val="Normal"/>
        <w:widowControl/>
        <w:bidi w:val="0"/>
        <w:spacing w:lineRule="auto" w:line="360" w:before="0" w:after="120"/>
        <w:jc w:val="both"/>
        <w:rPr/>
      </w:pPr>
      <w:r>
        <w:rPr/>
      </w:r>
    </w:p>
    <w:sectPr>
      <w:type w:val="continuous"/>
      <w:pgSz w:w="11906" w:h="16838"/>
      <w:pgMar w:left="1417" w:right="1417" w:header="708" w:top="1417" w:footer="708" w:bottom="1417" w:gutter="0"/>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libri Light">
    <w:charset w:val="00"/>
    <w:family w:val="roman"/>
    <w:pitch w:val="variable"/>
  </w:font>
  <w:font w:name="Liberation Sans">
    <w:altName w:val="Arial"/>
    <w:charset w:val="00"/>
    <w:family w:val="swiss"/>
    <w:pitch w:val="variable"/>
  </w:font>
  <w:font w:name="Arial">
    <w:charset w:val="00"/>
    <w:family w:val="roman"/>
    <w:pitch w:val="variable"/>
  </w:font>
  <w:font w:name="Wingdings">
    <w:charset w:val="02"/>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rPr/>
    </w:pPr>
    <w:r>
      <w:rPr/>
      <w:drawing>
        <wp:inline distT="0" distB="0" distL="0" distR="0">
          <wp:extent cx="1736090" cy="469265"/>
          <wp:effectExtent l="0" t="0" r="0" b="0"/>
          <wp:docPr id="3" name="Shape 20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ape 200" descr=""/>
                  <pic:cNvPicPr>
                    <a:picLocks noChangeAspect="1" noChangeArrowheads="1"/>
                  </pic:cNvPicPr>
                </pic:nvPicPr>
                <pic:blipFill>
                  <a:blip r:embed="rId1"/>
                  <a:stretch>
                    <a:fillRect/>
                  </a:stretch>
                </pic:blipFill>
                <pic:spPr bwMode="auto">
                  <a:xfrm>
                    <a:off x="0" y="0"/>
                    <a:ext cx="1736090" cy="469265"/>
                  </a:xfrm>
                  <a:prstGeom prst="rect">
                    <a:avLst/>
                  </a:prstGeom>
                </pic:spPr>
              </pic:pic>
            </a:graphicData>
          </a:graphic>
        </wp:inline>
      </w:drawing>
    </w:r>
    <w:r>
      <w:rPr/>
      <w:t xml:space="preserve"> </w:t>
    </w:r>
    <w:r>
      <w:rPr/>
      <w:drawing>
        <wp:inline distT="0" distB="0" distL="0" distR="0">
          <wp:extent cx="843915" cy="476250"/>
          <wp:effectExtent l="0" t="0" r="0" b="0"/>
          <wp:docPr id="4" name="Picture 2" descr="CIL&am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CIL&amp;B"/>
                  <pic:cNvPicPr>
                    <a:picLocks noChangeAspect="1" noChangeArrowheads="1"/>
                  </pic:cNvPicPr>
                </pic:nvPicPr>
                <pic:blipFill>
                  <a:blip r:embed="rId2"/>
                  <a:stretch>
                    <a:fillRect/>
                  </a:stretch>
                </pic:blipFill>
                <pic:spPr bwMode="auto">
                  <a:xfrm>
                    <a:off x="0" y="0"/>
                    <a:ext cx="843915" cy="476250"/>
                  </a:xfrm>
                  <a:prstGeom prst="rect">
                    <a:avLst/>
                  </a:prstGeom>
                </pic:spPr>
              </pic:pic>
            </a:graphicData>
          </a:graphic>
        </wp:inline>
      </w:drawing>
    </w:r>
    <w:r>
      <w:rPr/>
      <w:t xml:space="preserve"> </w:t>
    </w:r>
    <w:r>
      <w:rPr/>
      <w:drawing>
        <wp:inline distT="0" distB="0" distL="0" distR="0">
          <wp:extent cx="1560195" cy="510540"/>
          <wp:effectExtent l="0" t="0" r="0" b="0"/>
          <wp:docPr id="5" name="Image 22" descr="http://www.ladyss.com/IMG/gif/logo_Ladyss_lett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22" descr="http://www.ladyss.com/IMG/gif/logo_Ladyss_lettre.gif"/>
                  <pic:cNvPicPr>
                    <a:picLocks noChangeAspect="1" noChangeArrowheads="1"/>
                  </pic:cNvPicPr>
                </pic:nvPicPr>
                <pic:blipFill>
                  <a:blip r:embed="rId3"/>
                  <a:stretch>
                    <a:fillRect/>
                  </a:stretch>
                </pic:blipFill>
                <pic:spPr bwMode="auto">
                  <a:xfrm>
                    <a:off x="0" y="0"/>
                    <a:ext cx="1560195" cy="510540"/>
                  </a:xfrm>
                  <a:prstGeom prst="rect">
                    <a:avLst/>
                  </a:prstGeom>
                </pic:spPr>
              </pic:pic>
            </a:graphicData>
          </a:graphic>
        </wp:inline>
      </w:drawing>
    </w:r>
    <w:r>
      <w:rPr/>
      <w:t xml:space="preserve">  </w:t>
    </w:r>
    <w:r>
      <w:rPr/>
      <w:drawing>
        <wp:inline distT="0" distB="0" distL="0" distR="0">
          <wp:extent cx="1456690" cy="391795"/>
          <wp:effectExtent l="0" t="0" r="0" b="0"/>
          <wp:docPr id="6" name="Imag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7" descr=""/>
                  <pic:cNvPicPr>
                    <a:picLocks noChangeAspect="1" noChangeArrowheads="1"/>
                  </pic:cNvPicPr>
                </pic:nvPicPr>
                <pic:blipFill>
                  <a:blip r:embed="rId4"/>
                  <a:stretch>
                    <a:fillRect/>
                  </a:stretch>
                </pic:blipFill>
                <pic:spPr bwMode="auto">
                  <a:xfrm>
                    <a:off x="0" y="0"/>
                    <a:ext cx="1456690" cy="391795"/>
                  </a:xfrm>
                  <a:prstGeom prst="rect">
                    <a:avLst/>
                  </a:prstGeom>
                </pic:spPr>
              </pic:pic>
            </a:graphicData>
          </a:graphic>
        </wp:inline>
      </w:drawing>
    </w:r>
    <w:r>
      <w:rPr/>
      <w:t xml:space="preserve"> </w:t>
    </w:r>
  </w:p>
  <w:p>
    <w:pPr>
      <w:pStyle w:val="Pieddepage"/>
      <w:tabs>
        <w:tab w:val="center" w:pos="4536" w:leader="none"/>
        <w:tab w:val="right" w:pos="9072" w:leader="none"/>
      </w:tabs>
      <w:spacing w:lineRule="auto" w:line="240" w:before="0" w:after="12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rPr/>
    </w:pPr>
    <w:r>
      <w:rPr/>
      <w:drawing>
        <wp:inline distT="0" distB="0" distL="0" distR="0">
          <wp:extent cx="1692910" cy="500380"/>
          <wp:effectExtent l="0" t="0" r="0" b="0"/>
          <wp:docPr id="7"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 descr=""/>
                  <pic:cNvPicPr>
                    <a:picLocks noChangeAspect="1" noChangeArrowheads="1"/>
                  </pic:cNvPicPr>
                </pic:nvPicPr>
                <pic:blipFill>
                  <a:blip r:embed="rId1"/>
                  <a:stretch>
                    <a:fillRect/>
                  </a:stretch>
                </pic:blipFill>
                <pic:spPr bwMode="auto">
                  <a:xfrm>
                    <a:off x="0" y="0"/>
                    <a:ext cx="1692910" cy="500380"/>
                  </a:xfrm>
                  <a:prstGeom prst="rect">
                    <a:avLst/>
                  </a:prstGeom>
                </pic:spPr>
              </pic:pic>
            </a:graphicData>
          </a:graphic>
        </wp:inline>
      </w:drawing>
    </w:r>
    <w:r>
      <w:rPr/>
      <w:t xml:space="preserve"> </w:t>
    </w:r>
    <w:r>
      <w:rPr/>
      <w:drawing>
        <wp:inline distT="0" distB="0" distL="0" distR="0">
          <wp:extent cx="974090" cy="549275"/>
          <wp:effectExtent l="0" t="0" r="0" b="0"/>
          <wp:docPr id="8" name="Image4" descr="CIL&am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 descr="CIL&amp;B"/>
                  <pic:cNvPicPr>
                    <a:picLocks noChangeAspect="1" noChangeArrowheads="1"/>
                  </pic:cNvPicPr>
                </pic:nvPicPr>
                <pic:blipFill>
                  <a:blip r:embed="rId2"/>
                  <a:stretch>
                    <a:fillRect/>
                  </a:stretch>
                </pic:blipFill>
                <pic:spPr bwMode="auto">
                  <a:xfrm>
                    <a:off x="0" y="0"/>
                    <a:ext cx="974090" cy="549275"/>
                  </a:xfrm>
                  <a:prstGeom prst="rect">
                    <a:avLst/>
                  </a:prstGeom>
                </pic:spPr>
              </pic:pic>
            </a:graphicData>
          </a:graphic>
        </wp:inline>
      </w:drawing>
    </w:r>
    <w:r>
      <w:rPr/>
      <w:t xml:space="preserve"> </w:t>
    </w:r>
    <w:r>
      <w:rPr/>
      <w:drawing>
        <wp:inline distT="0" distB="0" distL="0" distR="0">
          <wp:extent cx="1456690" cy="391795"/>
          <wp:effectExtent l="0" t="0" r="0" b="0"/>
          <wp:docPr id="9"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 descr=""/>
                  <pic:cNvPicPr>
                    <a:picLocks noChangeAspect="1" noChangeArrowheads="1"/>
                  </pic:cNvPicPr>
                </pic:nvPicPr>
                <pic:blipFill>
                  <a:blip r:embed="rId3"/>
                  <a:stretch>
                    <a:fillRect/>
                  </a:stretch>
                </pic:blipFill>
                <pic:spPr bwMode="auto">
                  <a:xfrm>
                    <a:off x="0" y="0"/>
                    <a:ext cx="1456690" cy="391795"/>
                  </a:xfrm>
                  <a:prstGeom prst="rect">
                    <a:avLst/>
                  </a:prstGeom>
                </pic:spPr>
              </pic:pic>
            </a:graphicData>
          </a:graphic>
        </wp:inline>
      </w:drawing>
    </w:r>
    <w:r>
      <w:rPr/>
      <w:t xml:space="preserve"> </w:t>
    </w:r>
    <w:r>
      <w:rPr/>
      <w:drawing>
        <wp:inline distT="0" distB="0" distL="0" distR="0">
          <wp:extent cx="1195705" cy="391160"/>
          <wp:effectExtent l="0" t="0" r="0" b="0"/>
          <wp:docPr id="10" name="Image 9" descr="http://www.ladyss.com/IMG/gif/logo_Ladyss_lett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9" descr="http://www.ladyss.com/IMG/gif/logo_Ladyss_lettre.gif"/>
                  <pic:cNvPicPr>
                    <a:picLocks noChangeAspect="1" noChangeArrowheads="1"/>
                  </pic:cNvPicPr>
                </pic:nvPicPr>
                <pic:blipFill>
                  <a:blip r:embed="rId4"/>
                  <a:stretch>
                    <a:fillRect/>
                  </a:stretch>
                </pic:blipFill>
                <pic:spPr bwMode="auto">
                  <a:xfrm>
                    <a:off x="0" y="0"/>
                    <a:ext cx="1195705" cy="391160"/>
                  </a:xfrm>
                  <a:prstGeom prst="rect">
                    <a:avLst/>
                  </a:prstGeom>
                </pic:spPr>
              </pic:pic>
            </a:graphicData>
          </a:graphic>
        </wp:inline>
      </w:drawing>
    </w:r>
  </w:p>
  <w:p>
    <w:pPr>
      <w:pStyle w:val="Pieddepage"/>
      <w:tabs>
        <w:tab w:val="center" w:pos="4536" w:leader="none"/>
        <w:tab w:val="right" w:pos="9072" w:leader="none"/>
      </w:tabs>
      <w:spacing w:lineRule="auto" w:line="240" w:before="0" w:after="12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61310517"/>
    </w:sdtPr>
    <w:sdtContent>
      <w:p>
        <w:pPr>
          <w:pStyle w:val="Entte"/>
          <w:jc w:val="right"/>
          <w:rPr/>
        </w:pPr>
        <w:r>
          <w:rPr/>
          <w:fldChar w:fldCharType="begin"/>
        </w:r>
        <w:r>
          <w:rPr/>
          <w:instrText> PAGE </w:instrText>
        </w:r>
        <w:r>
          <w:rPr/>
          <w:fldChar w:fldCharType="separate"/>
        </w:r>
        <w:r>
          <w:rPr/>
          <w:t>24</w:t>
        </w:r>
        <w:r>
          <w:rPr/>
          <w:fldChar w:fldCharType="end"/>
        </w:r>
      </w:p>
      <w:p>
        <w:pPr>
          <w:pStyle w:val="Entte"/>
          <w:tabs>
            <w:tab w:val="center" w:pos="4536" w:leader="none"/>
            <w:tab w:val="right" w:pos="9072" w:leader="none"/>
          </w:tabs>
          <w:spacing w:lineRule="auto" w:line="240" w:before="0" w:after="120"/>
          <w:rPr/>
        </w:pPr>
        <w:r>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Titre1"/>
      <w:numFmt w:val="decimal"/>
      <w:lvlText w:val="%1"/>
      <w:lvlJc w:val="left"/>
      <w:pPr>
        <w:ind w:left="432" w:hanging="432"/>
      </w:pPr>
    </w:lvl>
    <w:lvl w:ilvl="1">
      <w:start w:val="1"/>
      <w:pStyle w:val="Titre2"/>
      <w:numFmt w:val="decimal"/>
      <w:lvlText w:val="%1.%2"/>
      <w:lvlJc w:val="left"/>
      <w:pPr>
        <w:ind w:left="576" w:hanging="576"/>
      </w:pPr>
    </w:lvl>
    <w:lvl w:ilvl="2">
      <w:start w:val="1"/>
      <w:pStyle w:val="Titre3"/>
      <w:numFmt w:val="decimal"/>
      <w:lvlText w:val="%1.%2.%3"/>
      <w:lvlJc w:val="left"/>
      <w:pPr>
        <w:ind w:left="720" w:hanging="720"/>
      </w:pPr>
    </w:lvl>
    <w:lvl w:ilvl="3">
      <w:start w:val="1"/>
      <w:pStyle w:val="Titre4"/>
      <w:numFmt w:val="decimal"/>
      <w:lvlText w:val="%1.%2.%3.%4"/>
      <w:lvlJc w:val="left"/>
      <w:pPr>
        <w:ind w:left="864" w:hanging="864"/>
      </w:pPr>
    </w:lvl>
    <w:lvl w:ilvl="4">
      <w:start w:val="1"/>
      <w:pStyle w:val="Titre5"/>
      <w:numFmt w:val="decimal"/>
      <w:lvlText w:val="%1.%2.%3.%4.%5"/>
      <w:lvlJc w:val="left"/>
      <w:pPr>
        <w:ind w:left="1008" w:hanging="1008"/>
      </w:pPr>
    </w:lvl>
    <w:lvl w:ilvl="5">
      <w:start w:val="1"/>
      <w:pStyle w:val="Titre6"/>
      <w:numFmt w:val="decimal"/>
      <w:lvlText w:val="%1.%2.%3.%4.%5.%6"/>
      <w:lvlJc w:val="left"/>
      <w:pPr>
        <w:ind w:left="1152" w:hanging="1152"/>
      </w:pPr>
    </w:lvl>
    <w:lvl w:ilvl="6">
      <w:start w:val="1"/>
      <w:pStyle w:val="Titre7"/>
      <w:numFmt w:val="decimal"/>
      <w:lvlText w:val="%1.%2.%3.%4.%5.%6.%7"/>
      <w:lvlJc w:val="left"/>
      <w:pPr>
        <w:ind w:left="1296" w:hanging="1296"/>
      </w:pPr>
    </w:lvl>
    <w:lvl w:ilvl="7">
      <w:start w:val="1"/>
      <w:pStyle w:val="Titre8"/>
      <w:numFmt w:val="decimal"/>
      <w:lvlText w:val="%1.%2.%3.%4.%5.%6.%7.%8"/>
      <w:lvlJc w:val="left"/>
      <w:pPr>
        <w:ind w:left="1440" w:hanging="1440"/>
      </w:pPr>
    </w:lvl>
    <w:lvl w:ilvl="8">
      <w:start w:val="1"/>
      <w:pStyle w:val="Titre9"/>
      <w:numFmt w:val="decimal"/>
      <w:lvlText w:val="%1.%2.%3.%4.%5.%6.%7.%8.%9"/>
      <w:lvlJc w:val="left"/>
      <w:pPr>
        <w:ind w:left="1584" w:hanging="1584"/>
      </w:pPr>
    </w:lvl>
  </w:abstractNum>
  <w:abstractNum w:abstractNumId="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lvl w:ilvl="0">
      <w:start w:val="1"/>
      <w:numFmt w:val="bullet"/>
      <w:lvlText w:val=""/>
      <w:lvlJc w:val="left"/>
      <w:pPr>
        <w:ind w:left="5037" w:hanging="360"/>
      </w:pPr>
      <w:rPr>
        <w:rFonts w:ascii="Symbol" w:hAnsi="Symbol" w:cs="Symbol" w:hint="default"/>
      </w:rPr>
    </w:lvl>
    <w:lvl w:ilvl="1">
      <w:start w:val="1"/>
      <w:numFmt w:val="bullet"/>
      <w:lvlText w:val="o"/>
      <w:lvlJc w:val="left"/>
      <w:pPr>
        <w:ind w:left="5757" w:hanging="360"/>
      </w:pPr>
      <w:rPr>
        <w:rFonts w:ascii="Courier New" w:hAnsi="Courier New" w:cs="Courier New" w:hint="default"/>
        <w:rFonts w:cs="Courier New"/>
      </w:rPr>
    </w:lvl>
    <w:lvl w:ilvl="2">
      <w:start w:val="1"/>
      <w:numFmt w:val="bullet"/>
      <w:lvlText w:val=""/>
      <w:lvlJc w:val="left"/>
      <w:pPr>
        <w:ind w:left="6477" w:hanging="360"/>
      </w:pPr>
      <w:rPr>
        <w:rFonts w:ascii="Wingdings" w:hAnsi="Wingdings" w:cs="Wingdings" w:hint="default"/>
      </w:rPr>
    </w:lvl>
    <w:lvl w:ilvl="3">
      <w:start w:val="1"/>
      <w:numFmt w:val="bullet"/>
      <w:lvlText w:val=""/>
      <w:lvlJc w:val="left"/>
      <w:pPr>
        <w:ind w:left="7197" w:hanging="360"/>
      </w:pPr>
      <w:rPr>
        <w:rFonts w:ascii="Symbol" w:hAnsi="Symbol" w:cs="Symbol" w:hint="default"/>
      </w:rPr>
    </w:lvl>
    <w:lvl w:ilvl="4">
      <w:start w:val="1"/>
      <w:numFmt w:val="bullet"/>
      <w:lvlText w:val="o"/>
      <w:lvlJc w:val="left"/>
      <w:pPr>
        <w:ind w:left="7917" w:hanging="360"/>
      </w:pPr>
      <w:rPr>
        <w:rFonts w:ascii="Courier New" w:hAnsi="Courier New" w:cs="Courier New" w:hint="default"/>
        <w:rFonts w:cs="Courier New"/>
      </w:rPr>
    </w:lvl>
    <w:lvl w:ilvl="5">
      <w:start w:val="1"/>
      <w:numFmt w:val="bullet"/>
      <w:lvlText w:val=""/>
      <w:lvlJc w:val="left"/>
      <w:pPr>
        <w:ind w:left="8637" w:hanging="360"/>
      </w:pPr>
      <w:rPr>
        <w:rFonts w:ascii="Wingdings" w:hAnsi="Wingdings" w:cs="Wingdings" w:hint="default"/>
      </w:rPr>
    </w:lvl>
    <w:lvl w:ilvl="6">
      <w:start w:val="1"/>
      <w:numFmt w:val="bullet"/>
      <w:lvlText w:val=""/>
      <w:lvlJc w:val="left"/>
      <w:pPr>
        <w:ind w:left="9357" w:hanging="360"/>
      </w:pPr>
      <w:rPr>
        <w:rFonts w:ascii="Wingdings" w:hAnsi="Wingdings" w:cs="Wingdings" w:hint="default"/>
      </w:rPr>
    </w:lvl>
    <w:lvl w:ilvl="7">
      <w:start w:val="1"/>
      <w:numFmt w:val="bullet"/>
      <w:lvlText w:val="o"/>
      <w:lvlJc w:val="left"/>
      <w:pPr>
        <w:ind w:left="10077" w:hanging="360"/>
      </w:pPr>
      <w:rPr>
        <w:rFonts w:ascii="Courier New" w:hAnsi="Courier New" w:cs="Courier New" w:hint="default"/>
        <w:rFonts w:cs="Courier New"/>
      </w:rPr>
    </w:lvl>
    <w:lvl w:ilvl="8">
      <w:start w:val="1"/>
      <w:numFmt w:val="bullet"/>
      <w:lvlText w:val=""/>
      <w:lvlJc w:val="left"/>
      <w:pPr>
        <w:ind w:left="10797" w:hanging="360"/>
      </w:pPr>
      <w:rPr>
        <w:rFonts w:ascii="Wingdings" w:hAnsi="Wingdings" w:cs="Wingdings" w:hint="default"/>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73"/>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b03a2f"/>
    <w:pPr>
      <w:widowControl/>
      <w:bidi w:val="0"/>
      <w:spacing w:lineRule="auto" w:line="360" w:before="0" w:after="120"/>
      <w:jc w:val="both"/>
    </w:pPr>
    <w:rPr>
      <w:rFonts w:ascii="Times New Roman" w:hAnsi="Times New Roman" w:eastAsia="Calibri" w:cs="" w:cstheme="minorBidi" w:eastAsiaTheme="minorHAnsi"/>
      <w:color w:val="auto"/>
      <w:kern w:val="0"/>
      <w:sz w:val="22"/>
      <w:szCs w:val="22"/>
      <w:lang w:val="fr-FR" w:eastAsia="en-US" w:bidi="ar-SA"/>
    </w:rPr>
  </w:style>
  <w:style w:type="paragraph" w:styleId="Titre1">
    <w:name w:val="Heading 1"/>
    <w:basedOn w:val="Normal"/>
    <w:next w:val="Normal"/>
    <w:link w:val="Titre1Car"/>
    <w:uiPriority w:val="9"/>
    <w:qFormat/>
    <w:rsid w:val="003e021a"/>
    <w:pPr>
      <w:keepNext w:val="true"/>
      <w:keepLines/>
      <w:numPr>
        <w:ilvl w:val="0"/>
        <w:numId w:val="1"/>
      </w:numPr>
      <w:spacing w:before="120" w:after="360"/>
      <w:ind w:left="431" w:hanging="431"/>
      <w:outlineLvl w:val="0"/>
    </w:pPr>
    <w:rPr>
      <w:rFonts w:eastAsia="" w:cs="" w:cstheme="majorBidi" w:eastAsiaTheme="majorEastAsia"/>
      <w:b/>
      <w:sz w:val="36"/>
      <w:szCs w:val="32"/>
    </w:rPr>
  </w:style>
  <w:style w:type="paragraph" w:styleId="Titre2">
    <w:name w:val="Heading 2"/>
    <w:basedOn w:val="Normal"/>
    <w:next w:val="Normal"/>
    <w:link w:val="Titre2Car"/>
    <w:uiPriority w:val="9"/>
    <w:unhideWhenUsed/>
    <w:qFormat/>
    <w:rsid w:val="00a112e8"/>
    <w:pPr>
      <w:keepNext w:val="true"/>
      <w:keepLines/>
      <w:numPr>
        <w:ilvl w:val="1"/>
        <w:numId w:val="1"/>
      </w:numPr>
      <w:spacing w:before="240" w:after="360"/>
      <w:ind w:left="578" w:hanging="578"/>
      <w:outlineLvl w:val="1"/>
    </w:pPr>
    <w:rPr>
      <w:rFonts w:eastAsia="" w:cs="" w:cstheme="majorBidi" w:eastAsiaTheme="majorEastAsia"/>
      <w:i/>
      <w:sz w:val="32"/>
      <w:szCs w:val="26"/>
    </w:rPr>
  </w:style>
  <w:style w:type="paragraph" w:styleId="Titre3">
    <w:name w:val="Heading 3"/>
    <w:basedOn w:val="Normal"/>
    <w:next w:val="Normal"/>
    <w:link w:val="Titre3Car"/>
    <w:uiPriority w:val="9"/>
    <w:unhideWhenUsed/>
    <w:qFormat/>
    <w:rsid w:val="001b0990"/>
    <w:pPr>
      <w:keepNext w:val="true"/>
      <w:keepLines/>
      <w:numPr>
        <w:ilvl w:val="2"/>
        <w:numId w:val="1"/>
      </w:numPr>
      <w:spacing w:before="40" w:after="120"/>
      <w:outlineLvl w:val="2"/>
    </w:pPr>
    <w:rPr>
      <w:rFonts w:eastAsia="" w:cs="" w:cstheme="majorBidi" w:eastAsiaTheme="majorEastAsia"/>
      <w:b/>
      <w:sz w:val="28"/>
      <w:szCs w:val="24"/>
    </w:rPr>
  </w:style>
  <w:style w:type="paragraph" w:styleId="Titre4">
    <w:name w:val="Heading 4"/>
    <w:basedOn w:val="Normal"/>
    <w:next w:val="Normal"/>
    <w:link w:val="Titre4Car"/>
    <w:uiPriority w:val="9"/>
    <w:semiHidden/>
    <w:unhideWhenUsed/>
    <w:qFormat/>
    <w:rsid w:val="00b03a2f"/>
    <w:pPr>
      <w:keepNext w:val="true"/>
      <w:keepLines/>
      <w:numPr>
        <w:ilvl w:val="3"/>
        <w:numId w:val="1"/>
      </w:numPr>
      <w:spacing w:before="40" w:after="120"/>
      <w:outlineLvl w:val="3"/>
    </w:pPr>
    <w:rPr>
      <w:rFonts w:ascii="Calibri Light" w:hAnsi="Calibri Light" w:eastAsia="" w:cs="" w:asciiTheme="majorHAnsi" w:cstheme="majorBidi" w:eastAsiaTheme="majorEastAsia" w:hAnsiTheme="majorHAnsi"/>
      <w:i/>
      <w:iCs/>
      <w:color w:val="2F5496" w:themeColor="accent1" w:themeShade="bf"/>
    </w:rPr>
  </w:style>
  <w:style w:type="paragraph" w:styleId="Titre5">
    <w:name w:val="Heading 5"/>
    <w:basedOn w:val="Normal"/>
    <w:next w:val="Normal"/>
    <w:link w:val="Titre5Car"/>
    <w:uiPriority w:val="9"/>
    <w:semiHidden/>
    <w:unhideWhenUsed/>
    <w:qFormat/>
    <w:rsid w:val="00b03a2f"/>
    <w:pPr>
      <w:keepNext w:val="true"/>
      <w:keepLines/>
      <w:numPr>
        <w:ilvl w:val="4"/>
        <w:numId w:val="1"/>
      </w:numPr>
      <w:spacing w:before="40" w:after="120"/>
      <w:outlineLvl w:val="4"/>
    </w:pPr>
    <w:rPr>
      <w:rFonts w:ascii="Calibri Light" w:hAnsi="Calibri Light" w:eastAsia="" w:cs="" w:asciiTheme="majorHAnsi" w:cstheme="majorBidi" w:eastAsiaTheme="majorEastAsia" w:hAnsiTheme="majorHAnsi"/>
      <w:color w:val="2F5496" w:themeColor="accent1" w:themeShade="bf"/>
    </w:rPr>
  </w:style>
  <w:style w:type="paragraph" w:styleId="Titre6">
    <w:name w:val="Heading 6"/>
    <w:basedOn w:val="Normal"/>
    <w:next w:val="Normal"/>
    <w:link w:val="Titre6Car"/>
    <w:uiPriority w:val="9"/>
    <w:semiHidden/>
    <w:unhideWhenUsed/>
    <w:qFormat/>
    <w:rsid w:val="00b03a2f"/>
    <w:pPr>
      <w:keepNext w:val="true"/>
      <w:keepLines/>
      <w:numPr>
        <w:ilvl w:val="5"/>
        <w:numId w:val="1"/>
      </w:numPr>
      <w:spacing w:before="40" w:after="120"/>
      <w:outlineLvl w:val="5"/>
    </w:pPr>
    <w:rPr>
      <w:rFonts w:ascii="Calibri Light" w:hAnsi="Calibri Light" w:eastAsia="" w:cs="" w:asciiTheme="majorHAnsi" w:cstheme="majorBidi" w:eastAsiaTheme="majorEastAsia" w:hAnsiTheme="majorHAnsi"/>
      <w:color w:val="1F3763" w:themeColor="accent1" w:themeShade="7f"/>
    </w:rPr>
  </w:style>
  <w:style w:type="paragraph" w:styleId="Titre7">
    <w:name w:val="Heading 7"/>
    <w:basedOn w:val="Normal"/>
    <w:next w:val="Normal"/>
    <w:link w:val="Titre7Car"/>
    <w:uiPriority w:val="9"/>
    <w:semiHidden/>
    <w:unhideWhenUsed/>
    <w:qFormat/>
    <w:rsid w:val="00b03a2f"/>
    <w:pPr>
      <w:keepNext w:val="true"/>
      <w:keepLines/>
      <w:numPr>
        <w:ilvl w:val="6"/>
        <w:numId w:val="1"/>
      </w:numPr>
      <w:spacing w:before="40" w:after="120"/>
      <w:outlineLvl w:val="6"/>
    </w:pPr>
    <w:rPr>
      <w:rFonts w:ascii="Calibri Light" w:hAnsi="Calibri Light" w:eastAsia="" w:cs="" w:asciiTheme="majorHAnsi" w:cstheme="majorBidi" w:eastAsiaTheme="majorEastAsia" w:hAnsiTheme="majorHAnsi"/>
      <w:i/>
      <w:iCs/>
      <w:color w:val="1F3763" w:themeColor="accent1" w:themeShade="7f"/>
    </w:rPr>
  </w:style>
  <w:style w:type="paragraph" w:styleId="Titre8">
    <w:name w:val="Heading 8"/>
    <w:basedOn w:val="Normal"/>
    <w:next w:val="Normal"/>
    <w:link w:val="Titre8Car"/>
    <w:uiPriority w:val="9"/>
    <w:semiHidden/>
    <w:unhideWhenUsed/>
    <w:qFormat/>
    <w:rsid w:val="00b03a2f"/>
    <w:pPr>
      <w:keepNext w:val="true"/>
      <w:keepLines/>
      <w:numPr>
        <w:ilvl w:val="7"/>
        <w:numId w:val="1"/>
      </w:numPr>
      <w:spacing w:before="40" w:after="120"/>
      <w:outlineLvl w:val="7"/>
    </w:pPr>
    <w:rPr>
      <w:rFonts w:ascii="Calibri Light" w:hAnsi="Calibri Light" w:eastAsia="" w:cs="" w:asciiTheme="majorHAnsi" w:cstheme="majorBidi" w:eastAsiaTheme="majorEastAsia" w:hAnsiTheme="majorHAnsi"/>
      <w:color w:val="272727" w:themeColor="text1" w:themeTint="d8"/>
      <w:sz w:val="21"/>
      <w:szCs w:val="21"/>
    </w:rPr>
  </w:style>
  <w:style w:type="paragraph" w:styleId="Titre9">
    <w:name w:val="Heading 9"/>
    <w:basedOn w:val="Normal"/>
    <w:next w:val="Normal"/>
    <w:link w:val="Titre9Car"/>
    <w:uiPriority w:val="9"/>
    <w:semiHidden/>
    <w:unhideWhenUsed/>
    <w:qFormat/>
    <w:rsid w:val="00b03a2f"/>
    <w:pPr>
      <w:keepNext w:val="true"/>
      <w:keepLines/>
      <w:numPr>
        <w:ilvl w:val="8"/>
        <w:numId w:val="1"/>
      </w:numPr>
      <w:spacing w:before="40" w:after="120"/>
      <w:outlineLvl w:val="8"/>
    </w:pPr>
    <w:rPr>
      <w:rFonts w:ascii="Calibri Light" w:hAnsi="Calibri Light" w:eastAsia="" w:cs="" w:asciiTheme="majorHAnsi" w:cstheme="majorBidi" w:eastAsiaTheme="majorEastAsia" w:hAnsiTheme="majorHAnsi"/>
      <w:i/>
      <w:iCs/>
      <w:color w:val="272727" w:themeColor="text1" w:themeTint="d8"/>
      <w:sz w:val="21"/>
      <w:szCs w:val="21"/>
    </w:rPr>
  </w:style>
  <w:style w:type="character" w:styleId="DefaultParagraphFont" w:default="1">
    <w:name w:val="Default Paragraph Font"/>
    <w:uiPriority w:val="1"/>
    <w:unhideWhenUsed/>
    <w:qFormat/>
    <w:rPr/>
  </w:style>
  <w:style w:type="character" w:styleId="TitreCar" w:customStyle="1">
    <w:name w:val="Titre Car"/>
    <w:basedOn w:val="DefaultParagraphFont"/>
    <w:link w:val="Titre"/>
    <w:uiPriority w:val="10"/>
    <w:qFormat/>
    <w:rsid w:val="00784042"/>
    <w:rPr>
      <w:rFonts w:ascii="Times New Roman" w:hAnsi="Times New Roman" w:eastAsia="" w:cs="" w:cstheme="majorBidi" w:eastAsiaTheme="majorEastAsia"/>
      <w:spacing w:val="-10"/>
      <w:kern w:val="2"/>
      <w:sz w:val="56"/>
      <w:szCs w:val="56"/>
    </w:rPr>
  </w:style>
  <w:style w:type="character" w:styleId="Titre1Car" w:customStyle="1">
    <w:name w:val="Titre 1 Car"/>
    <w:basedOn w:val="DefaultParagraphFont"/>
    <w:link w:val="Titre1"/>
    <w:uiPriority w:val="9"/>
    <w:qFormat/>
    <w:rsid w:val="003e021a"/>
    <w:rPr>
      <w:rFonts w:ascii="Times New Roman" w:hAnsi="Times New Roman" w:eastAsia="" w:cs="" w:cstheme="majorBidi" w:eastAsiaTheme="majorEastAsia"/>
      <w:b/>
      <w:sz w:val="36"/>
      <w:szCs w:val="32"/>
    </w:rPr>
  </w:style>
  <w:style w:type="character" w:styleId="Titre2Car" w:customStyle="1">
    <w:name w:val="Titre 2 Car"/>
    <w:basedOn w:val="DefaultParagraphFont"/>
    <w:link w:val="Titre2"/>
    <w:uiPriority w:val="9"/>
    <w:qFormat/>
    <w:rsid w:val="00a112e8"/>
    <w:rPr>
      <w:rFonts w:ascii="Times New Roman" w:hAnsi="Times New Roman" w:eastAsia="" w:cs="" w:cstheme="majorBidi" w:eastAsiaTheme="majorEastAsia"/>
      <w:i/>
      <w:sz w:val="32"/>
      <w:szCs w:val="26"/>
    </w:rPr>
  </w:style>
  <w:style w:type="character" w:styleId="EntteCar" w:customStyle="1">
    <w:name w:val="En-tête Car"/>
    <w:basedOn w:val="DefaultParagraphFont"/>
    <w:link w:val="En-tte"/>
    <w:uiPriority w:val="99"/>
    <w:qFormat/>
    <w:rsid w:val="00784042"/>
    <w:rPr>
      <w:rFonts w:ascii="Times New Roman" w:hAnsi="Times New Roman"/>
    </w:rPr>
  </w:style>
  <w:style w:type="character" w:styleId="PieddepageCar" w:customStyle="1">
    <w:name w:val="Pied de page Car"/>
    <w:basedOn w:val="DefaultParagraphFont"/>
    <w:link w:val="Pieddepage"/>
    <w:uiPriority w:val="99"/>
    <w:qFormat/>
    <w:rsid w:val="00784042"/>
    <w:rPr>
      <w:rFonts w:ascii="Times New Roman" w:hAnsi="Times New Roman"/>
    </w:rPr>
  </w:style>
  <w:style w:type="character" w:styleId="Titre3Car" w:customStyle="1">
    <w:name w:val="Titre 3 Car"/>
    <w:basedOn w:val="DefaultParagraphFont"/>
    <w:link w:val="Titre3"/>
    <w:uiPriority w:val="9"/>
    <w:qFormat/>
    <w:rsid w:val="001b0990"/>
    <w:rPr>
      <w:rFonts w:ascii="Times New Roman" w:hAnsi="Times New Roman" w:eastAsia="" w:cs="" w:cstheme="majorBidi" w:eastAsiaTheme="majorEastAsia"/>
      <w:b/>
      <w:sz w:val="28"/>
      <w:szCs w:val="24"/>
    </w:rPr>
  </w:style>
  <w:style w:type="character" w:styleId="Titre4Car" w:customStyle="1">
    <w:name w:val="Titre 4 Car"/>
    <w:basedOn w:val="DefaultParagraphFont"/>
    <w:link w:val="Titre4"/>
    <w:uiPriority w:val="9"/>
    <w:semiHidden/>
    <w:qFormat/>
    <w:rsid w:val="00b03a2f"/>
    <w:rPr>
      <w:rFonts w:ascii="Calibri Light" w:hAnsi="Calibri Light" w:eastAsia="" w:cs="" w:asciiTheme="majorHAnsi" w:cstheme="majorBidi" w:eastAsiaTheme="majorEastAsia" w:hAnsiTheme="majorHAnsi"/>
      <w:i/>
      <w:iCs/>
      <w:color w:val="2F5496" w:themeColor="accent1" w:themeShade="bf"/>
    </w:rPr>
  </w:style>
  <w:style w:type="character" w:styleId="Titre5Car" w:customStyle="1">
    <w:name w:val="Titre 5 Car"/>
    <w:basedOn w:val="DefaultParagraphFont"/>
    <w:link w:val="Titre5"/>
    <w:uiPriority w:val="9"/>
    <w:qFormat/>
    <w:rsid w:val="00b03a2f"/>
    <w:rPr>
      <w:rFonts w:ascii="Calibri Light" w:hAnsi="Calibri Light" w:eastAsia="" w:cs="" w:asciiTheme="majorHAnsi" w:cstheme="majorBidi" w:eastAsiaTheme="majorEastAsia" w:hAnsiTheme="majorHAnsi"/>
      <w:color w:val="2F5496" w:themeColor="accent1" w:themeShade="bf"/>
    </w:rPr>
  </w:style>
  <w:style w:type="character" w:styleId="Titre6Car" w:customStyle="1">
    <w:name w:val="Titre 6 Car"/>
    <w:basedOn w:val="DefaultParagraphFont"/>
    <w:link w:val="Titre6"/>
    <w:uiPriority w:val="9"/>
    <w:semiHidden/>
    <w:qFormat/>
    <w:rsid w:val="00b03a2f"/>
    <w:rPr>
      <w:rFonts w:ascii="Calibri Light" w:hAnsi="Calibri Light" w:eastAsia="" w:cs="" w:asciiTheme="majorHAnsi" w:cstheme="majorBidi" w:eastAsiaTheme="majorEastAsia" w:hAnsiTheme="majorHAnsi"/>
      <w:color w:val="1F3763" w:themeColor="accent1" w:themeShade="7f"/>
    </w:rPr>
  </w:style>
  <w:style w:type="character" w:styleId="Titre7Car" w:customStyle="1">
    <w:name w:val="Titre 7 Car"/>
    <w:basedOn w:val="DefaultParagraphFont"/>
    <w:link w:val="Titre7"/>
    <w:uiPriority w:val="9"/>
    <w:semiHidden/>
    <w:qFormat/>
    <w:rsid w:val="00b03a2f"/>
    <w:rPr>
      <w:rFonts w:ascii="Calibri Light" w:hAnsi="Calibri Light" w:eastAsia="" w:cs="" w:asciiTheme="majorHAnsi" w:cstheme="majorBidi" w:eastAsiaTheme="majorEastAsia" w:hAnsiTheme="majorHAnsi"/>
      <w:i/>
      <w:iCs/>
      <w:color w:val="1F3763" w:themeColor="accent1" w:themeShade="7f"/>
    </w:rPr>
  </w:style>
  <w:style w:type="character" w:styleId="Titre8Car" w:customStyle="1">
    <w:name w:val="Titre 8 Car"/>
    <w:basedOn w:val="DefaultParagraphFont"/>
    <w:link w:val="Titre8"/>
    <w:uiPriority w:val="9"/>
    <w:semiHidden/>
    <w:qFormat/>
    <w:rsid w:val="00b03a2f"/>
    <w:rPr>
      <w:rFonts w:ascii="Calibri Light" w:hAnsi="Calibri Light" w:eastAsia="" w:cs="" w:asciiTheme="majorHAnsi" w:cstheme="majorBidi" w:eastAsiaTheme="majorEastAsia" w:hAnsiTheme="majorHAnsi"/>
      <w:color w:val="272727" w:themeColor="text1" w:themeTint="d8"/>
      <w:sz w:val="21"/>
      <w:szCs w:val="21"/>
    </w:rPr>
  </w:style>
  <w:style w:type="character" w:styleId="Titre9Car" w:customStyle="1">
    <w:name w:val="Titre 9 Car"/>
    <w:basedOn w:val="DefaultParagraphFont"/>
    <w:link w:val="Titre9"/>
    <w:uiPriority w:val="9"/>
    <w:semiHidden/>
    <w:qFormat/>
    <w:rsid w:val="00b03a2f"/>
    <w:rPr>
      <w:rFonts w:ascii="Calibri Light" w:hAnsi="Calibri Light" w:eastAsia="" w:cs="" w:asciiTheme="majorHAnsi" w:cstheme="majorBidi" w:eastAsiaTheme="majorEastAsia" w:hAnsiTheme="majorHAnsi"/>
      <w:i/>
      <w:iCs/>
      <w:color w:val="272727" w:themeColor="text1" w:themeTint="d8"/>
      <w:sz w:val="21"/>
      <w:szCs w:val="21"/>
    </w:rPr>
  </w:style>
  <w:style w:type="character" w:styleId="LienInternet">
    <w:name w:val="Lien Internet"/>
    <w:basedOn w:val="DefaultParagraphFont"/>
    <w:uiPriority w:val="99"/>
    <w:unhideWhenUsed/>
    <w:rsid w:val="004649d8"/>
    <w:rPr>
      <w:color w:val="0563C1" w:themeColor="hyperlink"/>
      <w:u w:val="single"/>
    </w:rPr>
  </w:style>
  <w:style w:type="character" w:styleId="UnresolvedMention">
    <w:name w:val="Unresolved Mention"/>
    <w:basedOn w:val="DefaultParagraphFont"/>
    <w:uiPriority w:val="99"/>
    <w:semiHidden/>
    <w:unhideWhenUsed/>
    <w:qFormat/>
    <w:rsid w:val="00793b26"/>
    <w:rPr>
      <w:color w:val="605E5C"/>
      <w:shd w:fill="E1DFDD" w:val="clear"/>
    </w:rPr>
  </w:style>
  <w:style w:type="character" w:styleId="Sautdindex">
    <w:name w:val="Saut d'index"/>
    <w:qFormat/>
    <w:rPr/>
  </w:style>
  <w:style w:type="paragraph" w:styleId="Titre">
    <w:name w:val="Titre"/>
    <w:basedOn w:val="Normal"/>
    <w:next w:val="Corpsdetexte"/>
    <w:qFormat/>
    <w:pPr>
      <w:keepNext w:val="true"/>
      <w:spacing w:before="240" w:after="120"/>
    </w:pPr>
    <w:rPr>
      <w:rFonts w:ascii="Liberation Sans" w:hAnsi="Liberation Sans" w:eastAsia="Microsoft YaHei" w:cs="Arial"/>
      <w:sz w:val="28"/>
      <w:szCs w:val="28"/>
    </w:rPr>
  </w:style>
  <w:style w:type="paragraph" w:styleId="Corpsdetexte">
    <w:name w:val="Body Text"/>
    <w:basedOn w:val="Normal"/>
    <w:pPr>
      <w:spacing w:lineRule="auto" w:line="276" w:before="0" w:after="140"/>
    </w:pPr>
    <w:rPr/>
  </w:style>
  <w:style w:type="paragraph" w:styleId="Liste">
    <w:name w:val="List"/>
    <w:basedOn w:val="Corpsdetexte"/>
    <w:pPr/>
    <w:rPr>
      <w:rFonts w:cs="Arial"/>
    </w:rPr>
  </w:style>
  <w:style w:type="paragraph" w:styleId="Lgende">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Titreprincipal">
    <w:name w:val="Title"/>
    <w:basedOn w:val="Normal"/>
    <w:next w:val="Normal"/>
    <w:link w:val="TitreCar"/>
    <w:uiPriority w:val="10"/>
    <w:qFormat/>
    <w:rsid w:val="00784042"/>
    <w:pPr>
      <w:spacing w:lineRule="auto" w:line="240" w:before="0" w:after="120"/>
      <w:contextualSpacing/>
      <w:jc w:val="center"/>
    </w:pPr>
    <w:rPr>
      <w:rFonts w:eastAsia="" w:cs="" w:cstheme="majorBidi" w:eastAsiaTheme="majorEastAsia"/>
      <w:spacing w:val="-10"/>
      <w:kern w:val="2"/>
      <w:sz w:val="56"/>
      <w:szCs w:val="56"/>
    </w:rPr>
  </w:style>
  <w:style w:type="paragraph" w:styleId="Entteetpieddepage">
    <w:name w:val="En-tête et pied de page"/>
    <w:basedOn w:val="Normal"/>
    <w:qFormat/>
    <w:pPr/>
    <w:rPr/>
  </w:style>
  <w:style w:type="paragraph" w:styleId="Entte">
    <w:name w:val="Header"/>
    <w:basedOn w:val="Normal"/>
    <w:link w:val="En-tteCar"/>
    <w:uiPriority w:val="99"/>
    <w:unhideWhenUsed/>
    <w:rsid w:val="00784042"/>
    <w:pPr>
      <w:tabs>
        <w:tab w:val="clear" w:pos="708"/>
        <w:tab w:val="center" w:pos="4536" w:leader="none"/>
        <w:tab w:val="right" w:pos="9072" w:leader="none"/>
      </w:tabs>
      <w:spacing w:lineRule="auto" w:line="240"/>
    </w:pPr>
    <w:rPr/>
  </w:style>
  <w:style w:type="paragraph" w:styleId="Pieddepage">
    <w:name w:val="Footer"/>
    <w:basedOn w:val="Normal"/>
    <w:link w:val="PieddepageCar"/>
    <w:uiPriority w:val="99"/>
    <w:unhideWhenUsed/>
    <w:rsid w:val="00784042"/>
    <w:pPr>
      <w:tabs>
        <w:tab w:val="clear" w:pos="708"/>
        <w:tab w:val="center" w:pos="4536" w:leader="none"/>
        <w:tab w:val="right" w:pos="9072" w:leader="none"/>
      </w:tabs>
      <w:spacing w:lineRule="auto" w:line="240"/>
    </w:pPr>
    <w:rPr/>
  </w:style>
  <w:style w:type="paragraph" w:styleId="Puces" w:customStyle="1">
    <w:name w:val="Puces"/>
    <w:basedOn w:val="Normal"/>
    <w:qFormat/>
    <w:rsid w:val="00b03a2f"/>
    <w:pPr>
      <w:spacing w:before="120" w:after="120"/>
      <w:ind w:left="284" w:hanging="284"/>
      <w:contextualSpacing/>
    </w:pPr>
    <w:rPr/>
  </w:style>
  <w:style w:type="paragraph" w:styleId="ListParagraph">
    <w:name w:val="List Paragraph"/>
    <w:basedOn w:val="Normal"/>
    <w:uiPriority w:val="34"/>
    <w:qFormat/>
    <w:rsid w:val="003a6a14"/>
    <w:pPr>
      <w:spacing w:lineRule="auto" w:line="240" w:before="0" w:after="120"/>
      <w:ind w:left="720" w:hanging="0"/>
      <w:contextualSpacing/>
      <w:jc w:val="left"/>
    </w:pPr>
    <w:rPr>
      <w:rFonts w:ascii="Arial" w:hAnsi="Arial"/>
    </w:rPr>
  </w:style>
  <w:style w:type="paragraph" w:styleId="TOCHeading">
    <w:name w:val="TOC Heading"/>
    <w:basedOn w:val="Titre1"/>
    <w:next w:val="Normal"/>
    <w:uiPriority w:val="39"/>
    <w:unhideWhenUsed/>
    <w:qFormat/>
    <w:rsid w:val="00a112e8"/>
    <w:pPr>
      <w:numPr>
        <w:ilvl w:val="0"/>
        <w:numId w:val="0"/>
      </w:numPr>
      <w:spacing w:lineRule="auto" w:line="259" w:before="240" w:after="0"/>
      <w:ind w:left="431" w:hanging="431"/>
      <w:jc w:val="left"/>
    </w:pPr>
    <w:rPr>
      <w:rFonts w:ascii="Calibri Light" w:hAnsi="Calibri Light" w:asciiTheme="majorHAnsi" w:hAnsiTheme="majorHAnsi"/>
      <w:b w:val="false"/>
      <w:color w:val="2F5496" w:themeColor="accent1" w:themeShade="bf"/>
      <w:sz w:val="32"/>
      <w:lang w:eastAsia="fr-FR"/>
    </w:rPr>
  </w:style>
  <w:style w:type="paragraph" w:styleId="Tabledesmatiresniveau1">
    <w:name w:val="TOC 1"/>
    <w:basedOn w:val="Normal"/>
    <w:next w:val="Normal"/>
    <w:autoRedefine/>
    <w:uiPriority w:val="39"/>
    <w:unhideWhenUsed/>
    <w:rsid w:val="00a112e8"/>
    <w:pPr>
      <w:spacing w:before="0" w:after="100"/>
    </w:pPr>
    <w:rPr/>
  </w:style>
  <w:style w:type="paragraph" w:styleId="Tabledesmatiresniveau2">
    <w:name w:val="TOC 2"/>
    <w:basedOn w:val="Normal"/>
    <w:next w:val="Normal"/>
    <w:autoRedefine/>
    <w:uiPriority w:val="39"/>
    <w:unhideWhenUsed/>
    <w:rsid w:val="00a112e8"/>
    <w:pPr>
      <w:spacing w:before="0" w:after="100"/>
      <w:ind w:left="220" w:hanging="0"/>
    </w:pPr>
    <w:rPr/>
  </w:style>
  <w:style w:type="paragraph" w:styleId="Tabledesmatiresniveau3">
    <w:name w:val="TOC 3"/>
    <w:basedOn w:val="Normal"/>
    <w:next w:val="Normal"/>
    <w:autoRedefine/>
    <w:uiPriority w:val="39"/>
    <w:unhideWhenUsed/>
    <w:rsid w:val="00a112e8"/>
    <w:pPr>
      <w:spacing w:before="0" w:after="100"/>
      <w:ind w:left="440" w:hanging="0"/>
    </w:pPr>
    <w:rPr/>
  </w:style>
  <w:style w:type="numbering" w:styleId="NoList" w:default="1">
    <w:name w:val="No List"/>
    <w:uiPriority w:val="99"/>
    <w:semiHidden/>
    <w:unhideWhenUsed/>
    <w:qFormat/>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table" w:styleId="Grilledutableau">
    <w:name w:val="Table Grid"/>
    <w:basedOn w:val="TableauNormal"/>
    <w:uiPriority w:val="59"/>
    <w:rsid w:val="001b099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png"/><Relationship Id="rId4" Type="http://schemas.openxmlformats.org/officeDocument/2006/relationships/hyperlink" Target="http://www.researchgate.net/" TargetMode="Externa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1.png"/><Relationship Id="rId9" Type="http://schemas.openxmlformats.org/officeDocument/2006/relationships/image" Target="media/image12.jpeg"/><Relationship Id="rId10" Type="http://schemas.openxmlformats.org/officeDocument/2006/relationships/image" Target="media/image13.jpeg"/><Relationship Id="rId11" Type="http://schemas.openxmlformats.org/officeDocument/2006/relationships/image" Target="media/image14.jpeg"/><Relationship Id="rId12" Type="http://schemas.openxmlformats.org/officeDocument/2006/relationships/image" Target="media/image15.jpeg"/><Relationship Id="rId13" Type="http://schemas.openxmlformats.org/officeDocument/2006/relationships/image" Target="media/image16.jpeg"/><Relationship Id="rId14" Type="http://schemas.openxmlformats.org/officeDocument/2006/relationships/hyperlink" Target="http://www.afleurdepau.com/Flore/vocab/info.php" TargetMode="External"/><Relationship Id="rId15" Type="http://schemas.openxmlformats.org/officeDocument/2006/relationships/image" Target="media/image17.jpeg"/><Relationship Id="rId16" Type="http://schemas.openxmlformats.org/officeDocument/2006/relationships/image" Target="media/image18.jpeg"/><Relationship Id="rId17" Type="http://schemas.openxmlformats.org/officeDocument/2006/relationships/image" Target="media/image19.jpeg"/><Relationship Id="rId18" Type="http://schemas.openxmlformats.org/officeDocument/2006/relationships/image" Target="media/image20.jpeg"/><Relationship Id="rId19" Type="http://schemas.openxmlformats.org/officeDocument/2006/relationships/image" Target="media/image21.jpeg"/><Relationship Id="rId20" Type="http://schemas.openxmlformats.org/officeDocument/2006/relationships/image" Target="media/image22.jpeg"/><Relationship Id="rId21" Type="http://schemas.openxmlformats.org/officeDocument/2006/relationships/image" Target="media/image23.jpeg"/><Relationship Id="rId22" Type="http://schemas.openxmlformats.org/officeDocument/2006/relationships/image" Target="media/image24.jpeg"/><Relationship Id="rId23" Type="http://schemas.openxmlformats.org/officeDocument/2006/relationships/image" Target="media/image25.jpeg"/><Relationship Id="rId24" Type="http://schemas.openxmlformats.org/officeDocument/2006/relationships/image" Target="media/image26.jpeg"/><Relationship Id="rId25" Type="http://schemas.openxmlformats.org/officeDocument/2006/relationships/image" Target="media/image27.jpeg"/><Relationship Id="rId26" Type="http://schemas.openxmlformats.org/officeDocument/2006/relationships/image" Target="media/image28.jpeg"/><Relationship Id="rId27" Type="http://schemas.openxmlformats.org/officeDocument/2006/relationships/image" Target="media/image29.jpeg"/><Relationship Id="rId28" Type="http://schemas.openxmlformats.org/officeDocument/2006/relationships/image" Target="media/image30.jpeg"/><Relationship Id="rId29" Type="http://schemas.openxmlformats.org/officeDocument/2006/relationships/image" Target="media/image31.jpeg"/><Relationship Id="rId30" Type="http://schemas.openxmlformats.org/officeDocument/2006/relationships/image" Target="media/image32.jpeg"/><Relationship Id="rId31" Type="http://schemas.openxmlformats.org/officeDocument/2006/relationships/image" Target="media/image33.jpeg"/><Relationship Id="rId32" Type="http://schemas.openxmlformats.org/officeDocument/2006/relationships/image" Target="media/image34.jpeg"/><Relationship Id="rId33" Type="http://schemas.openxmlformats.org/officeDocument/2006/relationships/image" Target="media/image35.jpeg"/><Relationship Id="rId34" Type="http://schemas.openxmlformats.org/officeDocument/2006/relationships/image" Target="media/image36.jpeg"/><Relationship Id="rId35" Type="http://schemas.openxmlformats.org/officeDocument/2006/relationships/image" Target="media/image37.jpeg"/><Relationship Id="rId36" Type="http://schemas.openxmlformats.org/officeDocument/2006/relationships/image" Target="media/image38.jpeg"/><Relationship Id="rId37" Type="http://schemas.openxmlformats.org/officeDocument/2006/relationships/image" Target="media/image39.jpeg"/><Relationship Id="rId38" Type="http://schemas.openxmlformats.org/officeDocument/2006/relationships/image" Target="media/image40.jpeg"/><Relationship Id="rId39" Type="http://schemas.openxmlformats.org/officeDocument/2006/relationships/image" Target="media/image41.jpeg"/><Relationship Id="rId40" Type="http://schemas.openxmlformats.org/officeDocument/2006/relationships/chart" Target="charts/chart1.xml"/><Relationship Id="rId41" Type="http://schemas.openxmlformats.org/officeDocument/2006/relationships/hyperlink" Target="http://cybergeo.revues.org/27895" TargetMode="External"/><Relationship Id="rId42" Type="http://schemas.openxmlformats.org/officeDocument/2006/relationships/hyperlink" Target="http://www.fondationbiodiversite.fr/images/stories/IFB_Indicateurs_Biodiversite_Fr.pdf" TargetMode="External"/><Relationship Id="rId43" Type="http://schemas.openxmlformats.org/officeDocument/2006/relationships/hyperlink" Target="http://indicateurs-biodiversite.nature.fr/fr/indicateurs/tous" TargetMode="External"/><Relationship Id="rId44" Type="http://schemas.openxmlformats.org/officeDocument/2006/relationships/numbering" Target="numbering.xml"/><Relationship Id="rId45" Type="http://schemas.openxmlformats.org/officeDocument/2006/relationships/fontTable" Target="fontTable.xml"/><Relationship Id="rId46" Type="http://schemas.openxmlformats.org/officeDocument/2006/relationships/settings" Target="settings.xml"/><Relationship Id="rId47" Type="http://schemas.openxmlformats.org/officeDocument/2006/relationships/theme" Target="theme/theme1.xml"/><Relationship Id="rId48" Type="http://schemas.openxmlformats.org/officeDocument/2006/relationships/customXml" Target="../customXml/item1.xml"/>
</Relationships>
</file>

<file path=word/_rels/footer1.xml.rels><?xml version="1.0" encoding="UTF-8"?>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4.png"/><Relationship Id="rId3" Type="http://schemas.openxmlformats.org/officeDocument/2006/relationships/image" Target="media/image5.png"/><Relationship Id="rId4" Type="http://schemas.openxmlformats.org/officeDocument/2006/relationships/image" Target="media/image6.png"/>
</Relationships>
</file>

<file path=word/_rels/footer2.xml.rels><?xml version="1.0" encoding="UTF-8"?>
<Relationships xmlns="http://schemas.openxmlformats.org/package/2006/relationships"><Relationship Id="rId1" Type="http://schemas.openxmlformats.org/officeDocument/2006/relationships/image" Target="media/image7.png"/><Relationship Id="rId2" Type="http://schemas.openxmlformats.org/officeDocument/2006/relationships/image" Target="media/image8.png"/><Relationship Id="rId3" Type="http://schemas.openxmlformats.org/officeDocument/2006/relationships/image" Target="media/image9.png"/><Relationship Id="rId4" Type="http://schemas.openxmlformats.org/officeDocument/2006/relationships/image" Target="media/image10.png"/>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plotArea>
      <c:layout>
        <c:manualLayout>
          <c:layoutTarget val="inner"/>
          <c:xMode val="edge"/>
          <c:yMode val="edge"/>
          <c:x val="0.1475625"/>
          <c:y val="0.165777777777778"/>
          <c:w val="0.4604375"/>
          <c:h val="0.714444444444444"/>
        </c:manualLayout>
      </c:layout>
      <c:radarChart>
        <c:radarStyle val="marker"/>
        <c:varyColors val="0"/>
        <c:ser>
          <c:idx val="0"/>
          <c:order val="0"/>
          <c:tx>
            <c:strRef>
              <c:f>label 0</c:f>
              <c:strCache>
                <c:ptCount val="1"/>
                <c:pt idx="0">
                  <c:v>Séries anonymes 1</c:v>
                </c:pt>
              </c:strCache>
            </c:strRef>
          </c:tx>
          <c:spPr>
            <a:solidFill>
              <a:srgbClr val="4472c4"/>
            </a:solidFill>
            <a:ln w="19080">
              <a:solidFill>
                <a:srgbClr val="4472c4"/>
              </a:solidFill>
              <a:round/>
            </a:ln>
          </c:spPr>
          <c:marker>
            <c:symbol val="none"/>
          </c:marker>
          <c:dLbls>
            <c:numFmt formatCode="General" sourceLinked="1"/>
            <c:txPr>
              <a:bodyPr/>
              <a:lstStyle/>
              <a:p>
                <a:pPr>
                  <a:defRPr b="0" sz="1000" spc="-1" strike="noStrike">
                    <a:solidFill>
                      <a:srgbClr val="000000"/>
                    </a:solidFill>
                    <a:latin typeface="Calibri"/>
                  </a:defRPr>
                </a:pPr>
              </a:p>
            </c:txPr>
            <c:showLegendKey val="0"/>
            <c:showVal val="0"/>
            <c:showCatName val="0"/>
            <c:showSerName val="0"/>
            <c:showPercent val="0"/>
            <c:separator>; </c:separator>
            <c:showLeaderLines val="0"/>
          </c:dLbls>
          <c:cat>
            <c:strRef>
              <c:f>categories</c:f>
              <c:strCache>
                <c:ptCount val="10"/>
                <c:pt idx="0">
                  <c:v>1</c:v>
                </c:pt>
                <c:pt idx="1">
                  <c:v>2</c:v>
                </c:pt>
                <c:pt idx="2">
                  <c:v>3</c:v>
                </c:pt>
                <c:pt idx="3">
                  <c:v>4</c:v>
                </c:pt>
                <c:pt idx="4">
                  <c:v>5</c:v>
                </c:pt>
                <c:pt idx="5">
                  <c:v>6</c:v>
                </c:pt>
                <c:pt idx="6">
                  <c:v>7</c:v>
                </c:pt>
                <c:pt idx="7">
                  <c:v>8</c:v>
                </c:pt>
                <c:pt idx="8">
                  <c:v>9</c:v>
                </c:pt>
                <c:pt idx="9">
                  <c:v>10</c:v>
                </c:pt>
              </c:strCache>
            </c:strRef>
          </c:cat>
          <c:val>
            <c:numRef>
              <c:f>0</c:f>
              <c:numCache>
                <c:formatCode>General</c:formatCode>
                <c:ptCount val="10"/>
                <c:pt idx="0">
                  <c:v>4</c:v>
                </c:pt>
                <c:pt idx="1">
                  <c:v>3</c:v>
                </c:pt>
                <c:pt idx="2">
                  <c:v>2</c:v>
                </c:pt>
                <c:pt idx="3">
                  <c:v>4</c:v>
                </c:pt>
                <c:pt idx="4">
                  <c:v>5</c:v>
                </c:pt>
                <c:pt idx="5">
                  <c:v>5</c:v>
                </c:pt>
                <c:pt idx="6">
                  <c:v>5</c:v>
                </c:pt>
                <c:pt idx="7">
                  <c:v>5</c:v>
                </c:pt>
                <c:pt idx="8">
                  <c:v>-1</c:v>
                </c:pt>
                <c:pt idx="9">
                  <c:v>4</c:v>
                </c:pt>
              </c:numCache>
            </c:numRef>
          </c:val>
        </c:ser>
        <c:axId val="87804811"/>
        <c:axId val="57635934"/>
      </c:radarChart>
      <c:catAx>
        <c:axId val="87804811"/>
        <c:scaling>
          <c:orientation val="maxMin"/>
        </c:scaling>
        <c:delete val="0"/>
        <c:axPos val="b"/>
        <c:majorGridlines>
          <c:spPr>
            <a:ln w="6480">
              <a:solidFill>
                <a:srgbClr val="8b8b8b"/>
              </a:solidFill>
              <a:round/>
            </a:ln>
          </c:spPr>
        </c:majorGridlines>
        <c:numFmt formatCode="General" sourceLinked="1"/>
        <c:majorTickMark val="out"/>
        <c:minorTickMark val="none"/>
        <c:tickLblPos val="nextTo"/>
        <c:spPr>
          <a:ln w="6480">
            <a:noFill/>
          </a:ln>
        </c:spPr>
        <c:txPr>
          <a:bodyPr/>
          <a:lstStyle/>
          <a:p>
            <a:pPr>
              <a:defRPr b="0" sz="1000" spc="-1" strike="noStrike">
                <a:solidFill>
                  <a:srgbClr val="000000"/>
                </a:solidFill>
                <a:latin typeface="Calibri"/>
              </a:defRPr>
            </a:pPr>
          </a:p>
        </c:txPr>
        <c:crossAx val="57635934"/>
        <c:crosses val="autoZero"/>
        <c:auto val="1"/>
        <c:lblAlgn val="ctr"/>
        <c:lblOffset val="100"/>
      </c:catAx>
      <c:valAx>
        <c:axId val="57635934"/>
        <c:scaling>
          <c:orientation val="minMax"/>
        </c:scaling>
        <c:delete val="0"/>
        <c:axPos val="l"/>
        <c:majorGridlines>
          <c:spPr>
            <a:ln w="6480">
              <a:solidFill>
                <a:srgbClr val="8b8b8b"/>
              </a:solidFill>
              <a:round/>
            </a:ln>
          </c:spPr>
        </c:majorGridlines>
        <c:numFmt formatCode="General" sourceLinked="0"/>
        <c:majorTickMark val="cross"/>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87804811"/>
        <c:crosses val="autoZero"/>
      </c:valAx>
      <c:spPr>
        <a:solidFill>
          <a:srgbClr val="ffffff"/>
        </a:solidFill>
        <a:ln>
          <a:noFill/>
        </a:ln>
      </c:spPr>
    </c:plotArea>
    <c:plotVisOnly val="1"/>
    <c:dispBlanksAs val="gap"/>
  </c:chart>
  <c:spPr>
    <a:solidFill>
      <a:srgbClr val="ffffff"/>
    </a:solidFill>
    <a:ln w="9360">
      <a:solidFill>
        <a:srgbClr val="d9d9d9"/>
      </a:solidFill>
      <a:round/>
    </a:ln>
  </c:spPr>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2FDF8-A693-450F-81F9-94858FBD1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Application>LibreOffice/6.3.3.2$Windows_X86_64 LibreOffice_project/a64200df03143b798afd1ec74a12ab50359878ed</Application>
  <Pages>24</Pages>
  <Words>3574</Words>
  <Characters>19103</Characters>
  <CharactersWithSpaces>22555</CharactersWithSpaces>
  <Paragraphs>310</Paragraphs>
  <Company>Université Paris 1 Panthéon Sorbonne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2020-02-27T15:02:00Z</dcterms:created>
  <dc:creator>Pierre Pech</dc:creator>
  <dc:description/>
  <dc:language>fr-FR</dc:language>
  <cp:lastModifiedBy>Pierre Pech</cp:lastModifiedBy>
  <dcterms:modified xsi:type="dcterms:W3CDTF">2020-02-27T19:16:00Z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Université Paris 1 Panthéon Sorbonne</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